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162DD" w14:textId="77777777" w:rsidR="00E866F2" w:rsidRPr="00E866F2" w:rsidRDefault="00E866F2" w:rsidP="00191056">
      <w:pPr>
        <w:pStyle w:val="Ttulo"/>
        <w:ind w:left="0"/>
        <w:jc w:val="center"/>
        <w:rPr>
          <w:sz w:val="28"/>
          <w:szCs w:val="22"/>
        </w:rPr>
      </w:pPr>
      <w:r w:rsidRPr="00E866F2">
        <w:rPr>
          <w:sz w:val="28"/>
          <w:szCs w:val="22"/>
        </w:rPr>
        <w:t>INSTITUTO</w:t>
      </w:r>
      <w:r w:rsidRPr="00E866F2">
        <w:rPr>
          <w:spacing w:val="-23"/>
          <w:sz w:val="28"/>
          <w:szCs w:val="22"/>
        </w:rPr>
        <w:t xml:space="preserve"> </w:t>
      </w:r>
      <w:r w:rsidRPr="00E866F2">
        <w:rPr>
          <w:sz w:val="28"/>
          <w:szCs w:val="22"/>
        </w:rPr>
        <w:t>DE</w:t>
      </w:r>
      <w:r w:rsidRPr="00E866F2">
        <w:rPr>
          <w:spacing w:val="-22"/>
          <w:sz w:val="28"/>
          <w:szCs w:val="22"/>
        </w:rPr>
        <w:t xml:space="preserve"> </w:t>
      </w:r>
      <w:r w:rsidRPr="00E866F2">
        <w:rPr>
          <w:sz w:val="28"/>
          <w:szCs w:val="22"/>
        </w:rPr>
        <w:t>RELAÇÕES</w:t>
      </w:r>
      <w:r w:rsidRPr="00E866F2">
        <w:rPr>
          <w:spacing w:val="-21"/>
          <w:sz w:val="28"/>
          <w:szCs w:val="22"/>
        </w:rPr>
        <w:t xml:space="preserve"> </w:t>
      </w:r>
      <w:r w:rsidRPr="00E866F2">
        <w:rPr>
          <w:sz w:val="28"/>
          <w:szCs w:val="22"/>
        </w:rPr>
        <w:t>GOVERNAMENTAIS</w:t>
      </w:r>
      <w:r w:rsidRPr="00E866F2">
        <w:rPr>
          <w:spacing w:val="-14"/>
          <w:sz w:val="28"/>
          <w:szCs w:val="22"/>
        </w:rPr>
        <w:t xml:space="preserve"> </w:t>
      </w:r>
      <w:r w:rsidRPr="00E866F2">
        <w:rPr>
          <w:sz w:val="28"/>
          <w:szCs w:val="22"/>
        </w:rPr>
        <w:t>–</w:t>
      </w:r>
      <w:r w:rsidRPr="00E866F2">
        <w:rPr>
          <w:spacing w:val="-21"/>
          <w:sz w:val="28"/>
          <w:szCs w:val="22"/>
        </w:rPr>
        <w:t xml:space="preserve"> </w:t>
      </w:r>
      <w:r w:rsidRPr="00E866F2">
        <w:rPr>
          <w:spacing w:val="-2"/>
          <w:sz w:val="28"/>
          <w:szCs w:val="22"/>
        </w:rPr>
        <w:t>IRELGOV</w:t>
      </w:r>
    </w:p>
    <w:p w14:paraId="7E59B5BD" w14:textId="77777777" w:rsidR="006370E0" w:rsidRDefault="006370E0" w:rsidP="00191056">
      <w:pPr>
        <w:jc w:val="center"/>
      </w:pPr>
    </w:p>
    <w:p w14:paraId="230ED6A6" w14:textId="3588572C" w:rsidR="00C52C1E" w:rsidRDefault="006370E0" w:rsidP="00191056">
      <w:pPr>
        <w:jc w:val="center"/>
        <w:rPr>
          <w:b/>
          <w:spacing w:val="-2"/>
          <w:sz w:val="24"/>
          <w:szCs w:val="24"/>
        </w:rPr>
      </w:pPr>
      <w:r>
        <w:t>Curso sobre “</w:t>
      </w:r>
      <w:r w:rsidR="00ED36B9" w:rsidRPr="00ED36B9">
        <w:t>Política Externa como Política Pública no Brasil</w:t>
      </w:r>
      <w:r>
        <w:t>”</w:t>
      </w:r>
      <w:r w:rsidR="001A4856">
        <w:rPr>
          <w:b/>
          <w:spacing w:val="-2"/>
          <w:sz w:val="24"/>
          <w:szCs w:val="24"/>
        </w:rPr>
        <w:br/>
      </w:r>
    </w:p>
    <w:p w14:paraId="3021DF47" w14:textId="1E7F8042" w:rsidR="0074031A" w:rsidRDefault="0074031A" w:rsidP="00191056">
      <w:pPr>
        <w:jc w:val="both"/>
        <w:rPr>
          <w:b/>
          <w:spacing w:val="-2"/>
          <w:sz w:val="24"/>
          <w:szCs w:val="24"/>
        </w:rPr>
      </w:pPr>
    </w:p>
    <w:p w14:paraId="2A4B9F0B" w14:textId="77777777" w:rsidR="004D1782" w:rsidRDefault="004D1782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 w:rsidRPr="0074031A">
        <w:rPr>
          <w:rFonts w:eastAsiaTheme="majorEastAsia"/>
          <w:b/>
          <w:spacing w:val="-2"/>
          <w:sz w:val="24"/>
          <w:szCs w:val="24"/>
        </w:rPr>
        <w:t xml:space="preserve">Objetivo Geral </w:t>
      </w:r>
    </w:p>
    <w:p w14:paraId="0C566931" w14:textId="77777777" w:rsidR="004D1782" w:rsidRPr="0074031A" w:rsidRDefault="004D1782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73595D3B" w14:textId="77777777" w:rsidR="004D1782" w:rsidRDefault="004D1782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F6586A">
        <w:rPr>
          <w:rFonts w:eastAsiaTheme="majorEastAsia"/>
          <w:spacing w:val="-2"/>
          <w:sz w:val="24"/>
          <w:szCs w:val="24"/>
        </w:rPr>
        <w:t>Aprofundar a compreensão da política externa brasileira como um processo de política pública, destacando o envolvimento de múltiplos atores e interesses. Analisar a influência de atores domésticos, como a sociedade civil, empresas, entidades políticas subnacionais, e as burocracias do governo nacional na formulação e implementação da política externa. Sistematizar os principais mecanismos de interação entre os níveis doméstico e internacional, avaliando os graus de dependência da política externa brasileira como alternativa, discutindo casos exemplares em diversas áreas temáticas. Por fim, o estabelecimento de tendências e cenários futuros, com foco nos desafios e oportunidades para profissionais de Relações Governamentais (RelGov).</w:t>
      </w:r>
      <w:r w:rsidRPr="0074031A">
        <w:rPr>
          <w:rFonts w:eastAsiaTheme="majorEastAsia"/>
          <w:spacing w:val="-2"/>
          <w:sz w:val="24"/>
          <w:szCs w:val="24"/>
        </w:rPr>
        <w:t xml:space="preserve">. </w:t>
      </w:r>
    </w:p>
    <w:p w14:paraId="32260D66" w14:textId="77777777" w:rsidR="004D1782" w:rsidRDefault="004D1782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</w:p>
    <w:p w14:paraId="05185797" w14:textId="538B7A21" w:rsidR="004D1782" w:rsidRDefault="004D1782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Publico Alvo</w:t>
      </w:r>
    </w:p>
    <w:p w14:paraId="134AE75A" w14:textId="30120CA7" w:rsidR="005150BD" w:rsidRDefault="005150BD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1D4913B4" w14:textId="0C649357" w:rsidR="004D1782" w:rsidRDefault="000824E1" w:rsidP="00191056">
      <w:pPr>
        <w:pStyle w:val="PargrafodaLista"/>
        <w:tabs>
          <w:tab w:val="left" w:pos="0"/>
        </w:tabs>
        <w:ind w:left="0"/>
        <w:jc w:val="both"/>
        <w:rPr>
          <w:rFonts w:eastAsiaTheme="majorEastAsia"/>
          <w:spacing w:val="-2"/>
          <w:sz w:val="24"/>
          <w:szCs w:val="24"/>
        </w:rPr>
      </w:pPr>
      <w:r w:rsidRPr="000824E1">
        <w:rPr>
          <w:rFonts w:eastAsiaTheme="majorEastAsia"/>
          <w:spacing w:val="-2"/>
          <w:sz w:val="24"/>
          <w:szCs w:val="24"/>
        </w:rPr>
        <w:t>Graduados em Ciência Política, Relações Internacionais, Direito, Ciências Sociais e</w:t>
      </w:r>
      <w:r>
        <w:rPr>
          <w:rFonts w:eastAsiaTheme="majorEastAsia"/>
          <w:spacing w:val="-2"/>
          <w:sz w:val="24"/>
          <w:szCs w:val="24"/>
        </w:rPr>
        <w:t xml:space="preserve"> </w:t>
      </w:r>
      <w:r w:rsidRPr="000824E1">
        <w:rPr>
          <w:rFonts w:eastAsiaTheme="majorEastAsia"/>
          <w:spacing w:val="-2"/>
          <w:sz w:val="24"/>
          <w:szCs w:val="24"/>
        </w:rPr>
        <w:t>áreas correlatas, e profissionais atuantes em Relações Governamentais (RelGov)</w:t>
      </w:r>
      <w:r w:rsidR="008169EB">
        <w:rPr>
          <w:rFonts w:eastAsiaTheme="majorEastAsia"/>
          <w:spacing w:val="-2"/>
          <w:sz w:val="24"/>
          <w:szCs w:val="24"/>
        </w:rPr>
        <w:t>.</w:t>
      </w:r>
    </w:p>
    <w:p w14:paraId="3F90892E" w14:textId="77777777" w:rsidR="008169EB" w:rsidRDefault="008169EB" w:rsidP="00191056">
      <w:pPr>
        <w:pStyle w:val="PargrafodaLista"/>
        <w:tabs>
          <w:tab w:val="left" w:pos="0"/>
        </w:tabs>
        <w:ind w:left="0"/>
        <w:jc w:val="both"/>
        <w:rPr>
          <w:rFonts w:eastAsiaTheme="majorEastAsia"/>
          <w:spacing w:val="-2"/>
          <w:sz w:val="24"/>
          <w:szCs w:val="24"/>
        </w:rPr>
      </w:pPr>
    </w:p>
    <w:p w14:paraId="00A4DBCA" w14:textId="1B4E8FED" w:rsidR="008169EB" w:rsidRDefault="008169EB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Professor</w:t>
      </w:r>
    </w:p>
    <w:p w14:paraId="4F90901A" w14:textId="77777777" w:rsidR="008169EB" w:rsidRDefault="008169EB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4E931E6B" w14:textId="35DF5909" w:rsidR="00191056" w:rsidRPr="00191056" w:rsidRDefault="00191056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191056">
        <w:rPr>
          <w:rFonts w:eastAsiaTheme="majorEastAsia"/>
          <w:spacing w:val="-2"/>
          <w:sz w:val="24"/>
          <w:szCs w:val="24"/>
        </w:rPr>
        <w:t>Professor</w:t>
      </w:r>
      <w:r w:rsidR="00196F33">
        <w:rPr>
          <w:rFonts w:eastAsiaTheme="majorEastAsia"/>
          <w:spacing w:val="-2"/>
          <w:sz w:val="24"/>
          <w:szCs w:val="24"/>
        </w:rPr>
        <w:t xml:space="preserve"> </w:t>
      </w:r>
      <w:r w:rsidR="00196F33">
        <w:rPr>
          <w:rFonts w:eastAsia="Arial MT"/>
          <w:sz w:val="24"/>
        </w:rPr>
        <w:t>Frederico Seixas Dias,</w:t>
      </w:r>
      <w:r w:rsidRPr="00191056">
        <w:rPr>
          <w:rFonts w:eastAsiaTheme="majorEastAsia"/>
          <w:spacing w:val="-2"/>
          <w:sz w:val="24"/>
          <w:szCs w:val="24"/>
        </w:rPr>
        <w:t xml:space="preserve"> Doutor em Relações Internacionais (Universidade de Brasília/Harvard University), Coordenador Acadêmico das Graduações em Administração e Ciências Econômicas da Faculdade Ibmec de Brasília. Pesquisador e contribuinte frequente de mídias jornalísticas nas áreas de Teoria das Relações Internacionais e História do Pensamento Político Internacional, Análise da Política Mundial Contemporânea, Política Externa dos Estados Unidos da América e Política Externa do Brasil.</w:t>
      </w:r>
    </w:p>
    <w:p w14:paraId="5FB3CD01" w14:textId="77777777" w:rsidR="006370E0" w:rsidRP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494FFFA2" w14:textId="6454DC39" w:rsidR="006370E0" w:rsidRDefault="00F6586A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Metodologia</w:t>
      </w:r>
    </w:p>
    <w:p w14:paraId="1F6C6854" w14:textId="71144CED" w:rsidR="005150BD" w:rsidRDefault="005150BD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2A16934E" w14:textId="18A65789" w:rsidR="006370E0" w:rsidRDefault="007F523F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7F523F">
        <w:rPr>
          <w:rFonts w:eastAsiaTheme="majorEastAsia"/>
          <w:spacing w:val="-2"/>
          <w:sz w:val="24"/>
          <w:szCs w:val="24"/>
        </w:rPr>
        <w:t>A primeira aula introduz o curso e apresenta os conceitos e concepções principais que guiam o curso. Em seguida, 2 aulas abordam diferentes temas, atores, agendas e relações de poder, a partir da exploração de literatura especializada, focada na análise de casos relevantes. Por fim, uma aula conclusiva propõe diálogos com/entre os alunos, identificando possíveis problematizações de interesse no grupo, terminando com a exploração de diferentes cenários para o futuro da atuação profissional de RelGov junto aos processos de formulação e execução da política pública que é a política externa brasileira.</w:t>
      </w:r>
    </w:p>
    <w:p w14:paraId="7AA293CF" w14:textId="77777777" w:rsidR="007F523F" w:rsidRPr="006370E0" w:rsidRDefault="007F523F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72F3BDF6" w14:textId="1107E769" w:rsidR="006370E0" w:rsidRDefault="006370E0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Carga Horária</w:t>
      </w:r>
    </w:p>
    <w:p w14:paraId="3E167061" w14:textId="77777777" w:rsidR="001A3358" w:rsidRPr="001A3358" w:rsidRDefault="001A3358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7745713F" w14:textId="72E366FC" w:rsidR="001A3358" w:rsidRPr="001A3358" w:rsidRDefault="001A3358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t xml:space="preserve">Carga horária de 8 (oito) horas, </w:t>
      </w:r>
      <w:r w:rsidR="0042597F">
        <w:t>4 aulas de 2 horas cada, todas síncronas, online.</w:t>
      </w:r>
    </w:p>
    <w:p w14:paraId="0862B8A6" w14:textId="77777777" w:rsidR="006370E0" w:rsidRDefault="006370E0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36BFF3DF" w14:textId="327AFB83" w:rsidR="00085E0F" w:rsidRDefault="006370E0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Dat</w:t>
      </w:r>
      <w:r w:rsidR="00085E0F">
        <w:rPr>
          <w:rFonts w:eastAsiaTheme="majorEastAsia"/>
          <w:b/>
          <w:spacing w:val="-2"/>
          <w:sz w:val="24"/>
          <w:szCs w:val="24"/>
        </w:rPr>
        <w:t>a</w:t>
      </w:r>
    </w:p>
    <w:p w14:paraId="330F93E0" w14:textId="77777777" w:rsidR="00085E0F" w:rsidRDefault="00085E0F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2744A8A9" w14:textId="2B17710E" w:rsidR="00191056" w:rsidRDefault="00085E0F" w:rsidP="00191056">
      <w:pPr>
        <w:jc w:val="both"/>
      </w:pPr>
      <w:r>
        <w:t xml:space="preserve">Os encontros virtuais e ao vivo acontecerão </w:t>
      </w:r>
      <w:r w:rsidR="005307A6">
        <w:t>às</w:t>
      </w:r>
      <w:r>
        <w:t xml:space="preserve"> </w:t>
      </w:r>
      <w:r w:rsidR="005307A6" w:rsidRPr="005307A6">
        <w:t xml:space="preserve">segundas, </w:t>
      </w:r>
      <w:r w:rsidR="005307A6">
        <w:t xml:space="preserve">nos dias </w:t>
      </w:r>
      <w:r w:rsidR="00C75D36">
        <w:t>08/06</w:t>
      </w:r>
      <w:r w:rsidR="005307A6" w:rsidRPr="005307A6">
        <w:t xml:space="preserve">, </w:t>
      </w:r>
      <w:r w:rsidR="00C75D36">
        <w:t>1</w:t>
      </w:r>
      <w:r w:rsidR="005307A6" w:rsidRPr="005307A6">
        <w:t>5/</w:t>
      </w:r>
      <w:r w:rsidR="0078683F">
        <w:t>06</w:t>
      </w:r>
      <w:r w:rsidR="005307A6" w:rsidRPr="005307A6">
        <w:t xml:space="preserve">, </w:t>
      </w:r>
      <w:r w:rsidR="00C75D36">
        <w:t>22</w:t>
      </w:r>
      <w:r w:rsidR="005307A6" w:rsidRPr="005307A6">
        <w:t xml:space="preserve">/06 e </w:t>
      </w:r>
      <w:r w:rsidR="00C75D36">
        <w:t>29</w:t>
      </w:r>
      <w:r w:rsidR="005307A6" w:rsidRPr="005307A6">
        <w:t>/06, das 19h às 21h.</w:t>
      </w:r>
      <w:r w:rsidR="00B355EA">
        <w:t xml:space="preserve"> </w:t>
      </w:r>
      <w:r>
        <w:t xml:space="preserve">O IRELGOV enviará o link de acesso às aulas com, </w:t>
      </w:r>
      <w:r w:rsidR="005150BD">
        <w:t>até</w:t>
      </w:r>
      <w:r>
        <w:t>, 24 horas de antecedência</w:t>
      </w:r>
      <w:r w:rsidR="005150BD">
        <w:t xml:space="preserve"> por meio do e-mail cadastrado na inscrição.</w:t>
      </w:r>
    </w:p>
    <w:p w14:paraId="7B845F27" w14:textId="77777777" w:rsidR="00191056" w:rsidRDefault="00191056" w:rsidP="00191056">
      <w:pPr>
        <w:jc w:val="both"/>
      </w:pPr>
    </w:p>
    <w:p w14:paraId="18376E0D" w14:textId="51B3F453" w:rsidR="006370E0" w:rsidRPr="00191056" w:rsidRDefault="006370E0" w:rsidP="00191056">
      <w:pPr>
        <w:pStyle w:val="PargrafodaLista"/>
        <w:numPr>
          <w:ilvl w:val="0"/>
          <w:numId w:val="8"/>
        </w:numPr>
        <w:jc w:val="both"/>
      </w:pPr>
      <w:r w:rsidRPr="00191056">
        <w:rPr>
          <w:rFonts w:eastAsiaTheme="majorEastAsia"/>
          <w:b/>
          <w:spacing w:val="-2"/>
          <w:sz w:val="24"/>
          <w:szCs w:val="24"/>
        </w:rPr>
        <w:t>Programação</w:t>
      </w:r>
      <w:r w:rsidR="00085E0F" w:rsidRPr="00191056">
        <w:rPr>
          <w:rFonts w:eastAsiaTheme="majorEastAsia"/>
          <w:b/>
          <w:spacing w:val="-2"/>
          <w:sz w:val="24"/>
          <w:szCs w:val="24"/>
        </w:rPr>
        <w:br/>
      </w:r>
    </w:p>
    <w:p w14:paraId="7015F91C" w14:textId="1059FF33" w:rsidR="0074031A" w:rsidRDefault="00F5628C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Aula</w:t>
      </w:r>
      <w:r w:rsidR="0074031A" w:rsidRPr="0074031A">
        <w:rPr>
          <w:rFonts w:eastAsiaTheme="majorEastAsia"/>
          <w:b/>
          <w:spacing w:val="-2"/>
          <w:sz w:val="24"/>
          <w:szCs w:val="24"/>
        </w:rPr>
        <w:t xml:space="preserve"> 1: </w:t>
      </w:r>
      <w:r w:rsidR="00F45BE7" w:rsidRPr="00F45BE7">
        <w:rPr>
          <w:rFonts w:eastAsiaTheme="majorEastAsia"/>
          <w:b/>
          <w:spacing w:val="-2"/>
          <w:sz w:val="24"/>
          <w:szCs w:val="24"/>
        </w:rPr>
        <w:t>Introdução à Política Externa como Política Pública</w:t>
      </w:r>
    </w:p>
    <w:p w14:paraId="75D1E203" w14:textId="77777777" w:rsidR="004E69B7" w:rsidRDefault="004E69B7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43D3205C" w14:textId="77777777" w:rsidR="004E69B7" w:rsidRDefault="004E69B7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 w:rsidRPr="004E69B7">
        <w:rPr>
          <w:rFonts w:eastAsiaTheme="majorEastAsia"/>
          <w:b/>
          <w:spacing w:val="-2"/>
          <w:sz w:val="24"/>
          <w:szCs w:val="24"/>
        </w:rPr>
        <w:t xml:space="preserve">Objetivos Específicos: </w:t>
      </w:r>
    </w:p>
    <w:p w14:paraId="273BA4E3" w14:textId="77777777" w:rsidR="004E69B7" w:rsidRPr="004E69B7" w:rsidRDefault="004E69B7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7FC2DE3C" w14:textId="3E0E443B" w:rsidR="004E69B7" w:rsidRPr="004E69B7" w:rsidRDefault="004E69B7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4E69B7">
        <w:rPr>
          <w:rFonts w:eastAsiaTheme="majorEastAsia"/>
          <w:spacing w:val="-2"/>
          <w:sz w:val="24"/>
          <w:szCs w:val="24"/>
        </w:rPr>
        <w:t>Definir a política externa como política pública, explorando suas implicações teóricas e práticas. Serão apresentados os modelos de análise da política externa (racional, burocrático, pluralista) e discutida a evolução da política externa brasileira, desde o isolamento do Itamaraty até a pluralização e a “sombra da hierarquia”  [6].</w:t>
      </w:r>
    </w:p>
    <w:p w14:paraId="45377513" w14:textId="77777777" w:rsidR="004E69B7" w:rsidRDefault="004E69B7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77DDB903" w14:textId="10B7B577" w:rsidR="004E69B7" w:rsidRPr="004E69B7" w:rsidRDefault="004E69B7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Conteúdo Programático:</w:t>
      </w:r>
    </w:p>
    <w:p w14:paraId="5EE0F67C" w14:textId="77777777" w:rsidR="0074031A" w:rsidRPr="0074031A" w:rsidRDefault="0074031A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635746CB" w14:textId="777B5401" w:rsidR="00890105" w:rsidRPr="007D45CE" w:rsidRDefault="00F45BE7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rFonts w:eastAsiaTheme="majorEastAsia"/>
          <w:spacing w:val="-2"/>
          <w:sz w:val="24"/>
          <w:szCs w:val="24"/>
        </w:rPr>
        <w:t>Conceitos de Política Externa e Política Pública: intersecções e distinções.</w:t>
      </w:r>
    </w:p>
    <w:p w14:paraId="445AD61E" w14:textId="4BE9C458" w:rsidR="00F45BE7" w:rsidRPr="007D45CE" w:rsidRDefault="00F45BE7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rFonts w:eastAsiaTheme="majorEastAsia"/>
          <w:spacing w:val="-2"/>
          <w:sz w:val="24"/>
          <w:szCs w:val="24"/>
        </w:rPr>
        <w:t xml:space="preserve">Atores e Processos na Formulação: Estado, sociedade civil e setor privado. </w:t>
      </w:r>
    </w:p>
    <w:p w14:paraId="6BD521F9" w14:textId="01AE555E" w:rsidR="00F45BE7" w:rsidRPr="007D45CE" w:rsidRDefault="00F45BE7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rFonts w:eastAsiaTheme="majorEastAsia"/>
          <w:spacing w:val="-2"/>
          <w:sz w:val="24"/>
          <w:szCs w:val="24"/>
        </w:rPr>
        <w:t xml:space="preserve">A evolução institucional: do monopólio burocrático à governança em rede [3]. </w:t>
      </w:r>
    </w:p>
    <w:p w14:paraId="7BA12AC2" w14:textId="77777777" w:rsidR="007D45CE" w:rsidRDefault="00F45BE7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rFonts w:eastAsiaTheme="majorEastAsia"/>
          <w:spacing w:val="-2"/>
          <w:sz w:val="24"/>
          <w:szCs w:val="24"/>
        </w:rPr>
        <w:t>O papel do Itamaraty e da Presidência como gatekeepers na “sombra da hierarquia” [4]</w:t>
      </w:r>
    </w:p>
    <w:p w14:paraId="680124F0" w14:textId="77777777" w:rsidR="007D45CE" w:rsidRPr="00196F33" w:rsidRDefault="007D45CE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</w:p>
    <w:p w14:paraId="4EE6C924" w14:textId="77777777" w:rsidR="007D45CE" w:rsidRDefault="007D45CE" w:rsidP="00191056">
      <w:pPr>
        <w:pStyle w:val="PargrafodaLista"/>
        <w:ind w:left="0"/>
        <w:jc w:val="both"/>
        <w:rPr>
          <w:lang w:val="en-US"/>
        </w:rPr>
      </w:pPr>
      <w:r w:rsidRPr="007D45CE">
        <w:rPr>
          <w:rFonts w:eastAsiaTheme="majorEastAsia"/>
          <w:b/>
          <w:spacing w:val="-2"/>
          <w:sz w:val="24"/>
          <w:szCs w:val="24"/>
          <w:lang w:val="en-US"/>
        </w:rPr>
        <w:t>Sugestões de Leitura</w:t>
      </w:r>
      <w:r w:rsidRPr="007D45CE">
        <w:rPr>
          <w:lang w:val="en-US"/>
        </w:rPr>
        <w:t xml:space="preserve">: </w:t>
      </w:r>
    </w:p>
    <w:p w14:paraId="75A85CFE" w14:textId="77777777" w:rsidR="007D45CE" w:rsidRDefault="007D45CE" w:rsidP="00191056">
      <w:pPr>
        <w:pStyle w:val="PargrafodaLista"/>
        <w:ind w:left="0"/>
        <w:jc w:val="both"/>
        <w:rPr>
          <w:lang w:val="en-US"/>
        </w:rPr>
      </w:pPr>
    </w:p>
    <w:p w14:paraId="2DDC7B69" w14:textId="77777777" w:rsidR="007D45CE" w:rsidRPr="007D45CE" w:rsidRDefault="007D45CE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lang w:val="en-US"/>
        </w:rPr>
        <w:t>Básica: [4] CARDOSO, D. From centralisation to fragmentation and back again: the role of non-state actors in Brazil’s transformed foreign policy. Third World Quarterly, v. 40, n. 10, 2019.</w:t>
      </w:r>
    </w:p>
    <w:p w14:paraId="6046F2F3" w14:textId="69AD066D" w:rsidR="007D45CE" w:rsidRPr="007D45CE" w:rsidRDefault="007D45CE" w:rsidP="00191056">
      <w:pPr>
        <w:pStyle w:val="PargrafodaLista"/>
        <w:numPr>
          <w:ilvl w:val="0"/>
          <w:numId w:val="9"/>
        </w:numPr>
        <w:jc w:val="both"/>
        <w:rPr>
          <w:rFonts w:eastAsiaTheme="majorEastAsia"/>
          <w:spacing w:val="-2"/>
          <w:sz w:val="24"/>
          <w:szCs w:val="24"/>
        </w:rPr>
      </w:pPr>
      <w:r w:rsidRPr="007D45CE">
        <w:rPr>
          <w:lang w:val="en-US"/>
        </w:rPr>
        <w:t xml:space="preserve">Complementar: [9] MAITINO, M. Issue Area and Pluralization In Brazilian Foreign Policy: an Exploratory Study of Decision-Making Processes in the Fernando Henrique Cardoso Government. Dados, v. 67, n. 4, 2023. [3] CARDOSO, D. Network governance and the making of Brazil’s foreign policy towards China in the 21st century. </w:t>
      </w:r>
      <w:r>
        <w:t>Contexto Internacional, v. 38, 2016.</w:t>
      </w:r>
    </w:p>
    <w:p w14:paraId="0A1E51AB" w14:textId="77777777" w:rsidR="00890105" w:rsidRPr="0074031A" w:rsidRDefault="00890105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799E8B96" w14:textId="29017E6E" w:rsidR="0074031A" w:rsidRPr="0074031A" w:rsidRDefault="00F5628C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Aula</w:t>
      </w:r>
      <w:r w:rsidR="0074031A" w:rsidRPr="0074031A">
        <w:rPr>
          <w:rFonts w:eastAsiaTheme="majorEastAsia"/>
          <w:b/>
          <w:spacing w:val="-2"/>
          <w:sz w:val="24"/>
          <w:szCs w:val="24"/>
        </w:rPr>
        <w:t xml:space="preserve"> 2: </w:t>
      </w:r>
      <w:r w:rsidR="004E69B7" w:rsidRPr="004E69B7">
        <w:rPr>
          <w:rFonts w:eastAsiaTheme="majorEastAsia"/>
          <w:b/>
          <w:spacing w:val="-2"/>
          <w:sz w:val="24"/>
          <w:szCs w:val="24"/>
        </w:rPr>
        <w:t>O Agronegócio e a Política Externa Comercial</w:t>
      </w:r>
    </w:p>
    <w:p w14:paraId="39FB7761" w14:textId="77777777" w:rsidR="0074031A" w:rsidRPr="0074031A" w:rsidRDefault="0074031A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5E831190" w14:textId="77777777" w:rsidR="00F5628C" w:rsidRPr="00196F33" w:rsidRDefault="00F5628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  <w:r w:rsidRPr="00196F33">
        <w:rPr>
          <w:rFonts w:eastAsiaTheme="majorEastAsia"/>
          <w:b/>
          <w:spacing w:val="-2"/>
          <w:sz w:val="24"/>
          <w:szCs w:val="24"/>
          <w:lang w:val="pt-BR"/>
        </w:rPr>
        <w:t xml:space="preserve">Objetivos Específicos: </w:t>
      </w:r>
    </w:p>
    <w:p w14:paraId="6545A245" w14:textId="77777777" w:rsidR="00F5628C" w:rsidRPr="00F5628C" w:rsidRDefault="00F5628C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2E41751C" w14:textId="0675634C" w:rsidR="00F5628C" w:rsidRDefault="00FA7D28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FA7D28">
        <w:rPr>
          <w:rFonts w:eastAsiaTheme="majorEastAsia"/>
          <w:spacing w:val="-2"/>
          <w:sz w:val="24"/>
          <w:szCs w:val="24"/>
        </w:rPr>
        <w:t>Analisar a influência do agronegócio como o ator doméstico mais sistemático na política externa brasileira. Compreender a formação de coalizões público-privadas e redes de influência em negociações comerciais internacionais.</w:t>
      </w:r>
    </w:p>
    <w:p w14:paraId="078C4DDD" w14:textId="77777777" w:rsidR="00FA7D28" w:rsidRPr="00F5628C" w:rsidRDefault="00FA7D28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20367EA0" w14:textId="77777777" w:rsidR="00F5628C" w:rsidRPr="00FA7D28" w:rsidRDefault="00F5628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en-US"/>
        </w:rPr>
      </w:pPr>
      <w:r w:rsidRPr="00FA7D28">
        <w:rPr>
          <w:rFonts w:eastAsiaTheme="majorEastAsia"/>
          <w:b/>
          <w:spacing w:val="-2"/>
          <w:sz w:val="24"/>
          <w:szCs w:val="24"/>
          <w:lang w:val="en-US"/>
        </w:rPr>
        <w:t>Conteúdo Programático:</w:t>
      </w:r>
    </w:p>
    <w:p w14:paraId="65A49697" w14:textId="77777777" w:rsidR="00F5628C" w:rsidRPr="00F5628C" w:rsidRDefault="00F5628C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76321038" w14:textId="47993628" w:rsidR="00F5628C" w:rsidRPr="00B4087E" w:rsidRDefault="00FA7D28" w:rsidP="00191056">
      <w:pPr>
        <w:pStyle w:val="PargrafodaLista"/>
        <w:numPr>
          <w:ilvl w:val="0"/>
          <w:numId w:val="11"/>
        </w:numPr>
        <w:jc w:val="both"/>
        <w:rPr>
          <w:rFonts w:eastAsiaTheme="majorEastAsia"/>
          <w:spacing w:val="-2"/>
          <w:sz w:val="24"/>
          <w:szCs w:val="24"/>
        </w:rPr>
      </w:pPr>
      <w:r>
        <w:t>Agronegócio como ator sistemático e a rede de políticas agroexportadoras [13].</w:t>
      </w:r>
      <w:r w:rsidR="00F5628C" w:rsidRPr="00B4087E">
        <w:rPr>
          <w:rFonts w:eastAsiaTheme="majorEastAsia"/>
          <w:spacing w:val="-2"/>
          <w:sz w:val="24"/>
          <w:szCs w:val="24"/>
        </w:rPr>
        <w:t>.</w:t>
      </w:r>
    </w:p>
    <w:p w14:paraId="79A52DB9" w14:textId="11EE5A65" w:rsidR="00F5628C" w:rsidRPr="00B4087E" w:rsidRDefault="00FA7D28" w:rsidP="00191056">
      <w:pPr>
        <w:pStyle w:val="PargrafodaLista"/>
        <w:numPr>
          <w:ilvl w:val="0"/>
          <w:numId w:val="11"/>
        </w:numPr>
        <w:jc w:val="both"/>
        <w:rPr>
          <w:rFonts w:eastAsiaTheme="majorEastAsia"/>
          <w:spacing w:val="-2"/>
          <w:sz w:val="24"/>
          <w:szCs w:val="24"/>
        </w:rPr>
      </w:pPr>
      <w:r>
        <w:lastRenderedPageBreak/>
        <w:t>Casos Exemplares: Rodada Doha da OMC e a formação do G-20 agrícola [5].</w:t>
      </w:r>
    </w:p>
    <w:p w14:paraId="50D81C4D" w14:textId="584881B8" w:rsidR="00F5628C" w:rsidRPr="00B4087E" w:rsidRDefault="000376F4" w:rsidP="00191056">
      <w:pPr>
        <w:pStyle w:val="PargrafodaLista"/>
        <w:numPr>
          <w:ilvl w:val="0"/>
          <w:numId w:val="11"/>
        </w:numPr>
        <w:jc w:val="both"/>
        <w:rPr>
          <w:rFonts w:eastAsiaTheme="majorEastAsia"/>
          <w:spacing w:val="-2"/>
          <w:sz w:val="24"/>
          <w:szCs w:val="24"/>
        </w:rPr>
      </w:pPr>
      <w:r>
        <w:t>Lobby legislativo: O papel da Frente Parlamentar da Agropecuária (FPA) [8].</w:t>
      </w:r>
    </w:p>
    <w:p w14:paraId="582DA037" w14:textId="6B125E29" w:rsidR="000376F4" w:rsidRDefault="000376F4" w:rsidP="003201B7">
      <w:pPr>
        <w:pStyle w:val="PargrafodaLista"/>
        <w:widowControl/>
        <w:numPr>
          <w:ilvl w:val="0"/>
          <w:numId w:val="11"/>
        </w:numPr>
        <w:autoSpaceDE/>
        <w:autoSpaceDN/>
        <w:spacing w:after="160" w:line="259" w:lineRule="auto"/>
        <w:jc w:val="both"/>
      </w:pPr>
      <w:r>
        <w:t>Assimetrias de participação: agronegócio vs. agricultura familiar [12].</w:t>
      </w:r>
    </w:p>
    <w:p w14:paraId="0666E888" w14:textId="77777777" w:rsidR="00191056" w:rsidRDefault="00191056" w:rsidP="00191056">
      <w:pPr>
        <w:pStyle w:val="PargrafodaLista"/>
        <w:widowControl/>
        <w:autoSpaceDE/>
        <w:autoSpaceDN/>
        <w:spacing w:after="160" w:line="259" w:lineRule="auto"/>
        <w:jc w:val="both"/>
      </w:pPr>
    </w:p>
    <w:p w14:paraId="72F2644E" w14:textId="77777777" w:rsidR="00F5628C" w:rsidRPr="000376F4" w:rsidRDefault="00F5628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en-US"/>
        </w:rPr>
      </w:pPr>
      <w:r w:rsidRPr="000376F4">
        <w:rPr>
          <w:rFonts w:eastAsiaTheme="majorEastAsia"/>
          <w:b/>
          <w:spacing w:val="-2"/>
          <w:sz w:val="24"/>
          <w:szCs w:val="24"/>
          <w:lang w:val="en-US"/>
        </w:rPr>
        <w:t xml:space="preserve">Sugestões de Leitura: </w:t>
      </w:r>
    </w:p>
    <w:p w14:paraId="57FEF268" w14:textId="77777777" w:rsidR="00F5628C" w:rsidRPr="00F5628C" w:rsidRDefault="00F5628C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6EF5B917" w14:textId="77777777" w:rsidR="00472D66" w:rsidRDefault="00F5628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>•</w:t>
      </w: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ab/>
        <w:t>Básica:</w:t>
      </w:r>
    </w:p>
    <w:p w14:paraId="6F901E7B" w14:textId="77777777" w:rsidR="0028707C" w:rsidRPr="00472D66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</w:p>
    <w:p w14:paraId="6AA6532D" w14:textId="3876D44E" w:rsidR="00F5628C" w:rsidRDefault="009E35DE" w:rsidP="00191056">
      <w:pPr>
        <w:jc w:val="both"/>
        <w:rPr>
          <w:lang w:val="en-US"/>
        </w:rPr>
      </w:pPr>
      <w:r>
        <w:rPr>
          <w:lang w:val="en-US"/>
        </w:rPr>
        <w:t>[</w:t>
      </w:r>
      <w:r w:rsidRPr="009E35DE">
        <w:rPr>
          <w:lang w:val="en-US"/>
        </w:rPr>
        <w:t>13] SØNDERGAARD, N.; SILVA, R. Reshaping the policy arena: how the agro-export policy network propelled Brazil within global agricultural governance. World Trade Review, v. 19, n. 4, p. 550-566, 2020.</w:t>
      </w:r>
    </w:p>
    <w:p w14:paraId="47C982B0" w14:textId="77777777" w:rsidR="00472D66" w:rsidRPr="00472D66" w:rsidRDefault="00472D66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6AE36D08" w14:textId="77777777" w:rsidR="00472D66" w:rsidRDefault="00F5628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>•</w:t>
      </w: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ab/>
        <w:t xml:space="preserve">Complementar: </w:t>
      </w:r>
    </w:p>
    <w:p w14:paraId="261FD46F" w14:textId="77777777" w:rsidR="0028707C" w:rsidRPr="00472D66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</w:p>
    <w:p w14:paraId="4A951944" w14:textId="66AEABA2" w:rsidR="0028707C" w:rsidRPr="00196F33" w:rsidRDefault="0028707C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28707C">
        <w:rPr>
          <w:rFonts w:eastAsiaTheme="majorEastAsia"/>
          <w:spacing w:val="-2"/>
          <w:sz w:val="24"/>
          <w:szCs w:val="24"/>
          <w:lang w:val="en-US"/>
        </w:rPr>
        <w:t xml:space="preserve">[8] GONÇALVES, F. C. I. et al. Representing Agribusiness Interests in Brazilian Foreign Policy: The Role of the Parliamentary Agricultural Front (FPA) Between 2015 and 2022. </w:t>
      </w:r>
      <w:r w:rsidRPr="00196F33">
        <w:rPr>
          <w:rFonts w:eastAsiaTheme="majorEastAsia"/>
          <w:spacing w:val="-2"/>
          <w:sz w:val="24"/>
          <w:szCs w:val="24"/>
          <w:lang w:val="pt-BR"/>
        </w:rPr>
        <w:t xml:space="preserve">Brazilian Political Science Review, v. 19, 2025. </w:t>
      </w:r>
    </w:p>
    <w:p w14:paraId="257F6052" w14:textId="1BB2428E" w:rsidR="0028707C" w:rsidRPr="0028707C" w:rsidRDefault="0028707C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28707C">
        <w:rPr>
          <w:rFonts w:eastAsiaTheme="majorEastAsia"/>
          <w:spacing w:val="-2"/>
          <w:sz w:val="24"/>
          <w:szCs w:val="24"/>
          <w:lang w:val="pt-BR"/>
        </w:rPr>
        <w:t xml:space="preserve">[5] CARVALHO, M. Condicionantes internacionais e domésticos: o Brasil e o G-20 nas negociações agrícolas da Rodada Doha. Dados, v. 53, n. 2, 2010. </w:t>
      </w:r>
    </w:p>
    <w:p w14:paraId="6DECCA35" w14:textId="7E41444B" w:rsidR="00F5628C" w:rsidRDefault="0028707C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28707C">
        <w:rPr>
          <w:rFonts w:eastAsiaTheme="majorEastAsia"/>
          <w:spacing w:val="-2"/>
          <w:sz w:val="24"/>
          <w:szCs w:val="24"/>
          <w:lang w:val="pt-BR"/>
        </w:rPr>
        <w:t>[12] SILVA, R. O papel das coalizões de defesa da agricultura nas agendas da política comercial externa brasileira. Encuentro Latinoamericano ELA, 2016.</w:t>
      </w:r>
    </w:p>
    <w:p w14:paraId="0136955A" w14:textId="77777777" w:rsidR="0028707C" w:rsidRPr="0028707C" w:rsidRDefault="0028707C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2EB2C711" w14:textId="05BDB7FF" w:rsidR="0028707C" w:rsidRPr="0074031A" w:rsidRDefault="0028707C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Aula</w:t>
      </w:r>
      <w:r w:rsidRPr="0074031A">
        <w:rPr>
          <w:rFonts w:eastAsiaTheme="majorEastAsia"/>
          <w:b/>
          <w:spacing w:val="-2"/>
          <w:sz w:val="24"/>
          <w:szCs w:val="24"/>
        </w:rPr>
        <w:t xml:space="preserve"> </w:t>
      </w:r>
      <w:r w:rsidR="004145DA">
        <w:rPr>
          <w:rFonts w:eastAsiaTheme="majorEastAsia"/>
          <w:b/>
          <w:spacing w:val="-2"/>
          <w:sz w:val="24"/>
          <w:szCs w:val="24"/>
        </w:rPr>
        <w:t>3</w:t>
      </w:r>
      <w:r w:rsidRPr="0074031A">
        <w:rPr>
          <w:rFonts w:eastAsiaTheme="majorEastAsia"/>
          <w:b/>
          <w:spacing w:val="-2"/>
          <w:sz w:val="24"/>
          <w:szCs w:val="24"/>
        </w:rPr>
        <w:t xml:space="preserve">: </w:t>
      </w:r>
      <w:r w:rsidR="004145DA" w:rsidRPr="004145DA">
        <w:rPr>
          <w:rFonts w:eastAsiaTheme="majorEastAsia"/>
          <w:b/>
          <w:spacing w:val="-2"/>
          <w:sz w:val="24"/>
          <w:szCs w:val="24"/>
        </w:rPr>
        <w:t>Meio Ambiente/Clima e o Comércio Internacional</w:t>
      </w:r>
    </w:p>
    <w:p w14:paraId="1B8B93F2" w14:textId="77777777" w:rsidR="0028707C" w:rsidRPr="0074031A" w:rsidRDefault="0028707C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54B76A4D" w14:textId="77777777" w:rsidR="0028707C" w:rsidRPr="0028707C" w:rsidRDefault="0028707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  <w:r w:rsidRPr="0028707C">
        <w:rPr>
          <w:rFonts w:eastAsiaTheme="majorEastAsia"/>
          <w:b/>
          <w:spacing w:val="-2"/>
          <w:sz w:val="24"/>
          <w:szCs w:val="24"/>
          <w:lang w:val="pt-BR"/>
        </w:rPr>
        <w:t xml:space="preserve">Objetivos Específicos: </w:t>
      </w:r>
    </w:p>
    <w:p w14:paraId="1B75FF71" w14:textId="77777777" w:rsidR="0028707C" w:rsidRPr="00F5628C" w:rsidRDefault="0028707C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485203CB" w14:textId="57977DC0" w:rsidR="0028707C" w:rsidRDefault="004145DA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4145DA">
        <w:rPr>
          <w:rFonts w:eastAsiaTheme="majorEastAsia"/>
          <w:spacing w:val="-2"/>
          <w:sz w:val="24"/>
          <w:szCs w:val="24"/>
        </w:rPr>
        <w:t>Examinar a arena de contestação entre o agronegócio, comunidades epistêmicas e ONGs na política ambiental externa. Discutir o impacto das narrativas e do enquadramento (framing) nas negociações internacionais.</w:t>
      </w:r>
    </w:p>
    <w:p w14:paraId="45AC7D71" w14:textId="77777777" w:rsidR="004145DA" w:rsidRPr="00F5628C" w:rsidRDefault="004145DA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0D685E03" w14:textId="77777777" w:rsidR="0028707C" w:rsidRPr="0028707C" w:rsidRDefault="0028707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  <w:r w:rsidRPr="0028707C">
        <w:rPr>
          <w:rFonts w:eastAsiaTheme="majorEastAsia"/>
          <w:b/>
          <w:spacing w:val="-2"/>
          <w:sz w:val="24"/>
          <w:szCs w:val="24"/>
          <w:lang w:val="pt-BR"/>
        </w:rPr>
        <w:t>Conteúdo Programático:</w:t>
      </w:r>
    </w:p>
    <w:p w14:paraId="77EB55B4" w14:textId="77777777" w:rsidR="0028707C" w:rsidRPr="00F5628C" w:rsidRDefault="0028707C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1A43D893" w14:textId="6A0C9F60" w:rsidR="0028707C" w:rsidRPr="00B4087E" w:rsidRDefault="00B4087E" w:rsidP="00191056">
      <w:pPr>
        <w:pStyle w:val="PargrafodaLista"/>
        <w:numPr>
          <w:ilvl w:val="0"/>
          <w:numId w:val="10"/>
        </w:numPr>
        <w:jc w:val="both"/>
        <w:rPr>
          <w:rFonts w:eastAsiaTheme="majorEastAsia"/>
          <w:spacing w:val="-2"/>
          <w:sz w:val="24"/>
          <w:szCs w:val="24"/>
        </w:rPr>
      </w:pPr>
      <w:r>
        <w:t>O agronegócio como “veto player” no Acordo UE-Mercosul [6]</w:t>
      </w:r>
    </w:p>
    <w:p w14:paraId="37D82E62" w14:textId="05466FA2" w:rsidR="0028707C" w:rsidRPr="00B4087E" w:rsidRDefault="00B4087E" w:rsidP="00191056">
      <w:pPr>
        <w:pStyle w:val="PargrafodaLista"/>
        <w:numPr>
          <w:ilvl w:val="0"/>
          <w:numId w:val="10"/>
        </w:numPr>
        <w:jc w:val="both"/>
        <w:rPr>
          <w:rFonts w:eastAsiaTheme="majorEastAsia"/>
          <w:spacing w:val="-2"/>
          <w:sz w:val="24"/>
          <w:szCs w:val="24"/>
        </w:rPr>
      </w:pPr>
      <w:r>
        <w:t>Disputas narrativas: Storylines do agronegócio vs. exigências de sustentabilidade [2].</w:t>
      </w:r>
    </w:p>
    <w:p w14:paraId="7F0ED825" w14:textId="3809C115" w:rsidR="00B4087E" w:rsidRDefault="00B4087E" w:rsidP="00191056">
      <w:pPr>
        <w:pStyle w:val="PargrafodaLista"/>
        <w:numPr>
          <w:ilvl w:val="0"/>
          <w:numId w:val="10"/>
        </w:numPr>
        <w:jc w:val="both"/>
      </w:pPr>
      <w:r>
        <w:t>Influência de comunidades epistêmicas e academia na formulação das NDCs (COP21) [1]</w:t>
      </w:r>
    </w:p>
    <w:p w14:paraId="0AB635E8" w14:textId="2B2DF756" w:rsidR="0028707C" w:rsidRDefault="0028707C" w:rsidP="00191056">
      <w:pPr>
        <w:pStyle w:val="PargrafodaLista"/>
        <w:widowControl/>
        <w:numPr>
          <w:ilvl w:val="0"/>
          <w:numId w:val="10"/>
        </w:numPr>
        <w:autoSpaceDE/>
        <w:autoSpaceDN/>
        <w:spacing w:after="160" w:line="259" w:lineRule="auto"/>
        <w:jc w:val="both"/>
      </w:pPr>
      <w:r>
        <w:t>Assimetrias de participação: agronegócio vs. agricultura familiar [12].</w:t>
      </w:r>
    </w:p>
    <w:p w14:paraId="648D9370" w14:textId="77777777" w:rsidR="00C25D63" w:rsidRDefault="00C25D63" w:rsidP="00191056">
      <w:pPr>
        <w:pStyle w:val="PargrafodaLista"/>
        <w:widowControl/>
        <w:autoSpaceDE/>
        <w:autoSpaceDN/>
        <w:spacing w:after="160" w:line="259" w:lineRule="auto"/>
        <w:jc w:val="both"/>
      </w:pPr>
    </w:p>
    <w:p w14:paraId="0B3EC520" w14:textId="77777777" w:rsidR="0028707C" w:rsidRPr="000376F4" w:rsidRDefault="0028707C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en-US"/>
        </w:rPr>
      </w:pPr>
      <w:r w:rsidRPr="000376F4">
        <w:rPr>
          <w:rFonts w:eastAsiaTheme="majorEastAsia"/>
          <w:b/>
          <w:spacing w:val="-2"/>
          <w:sz w:val="24"/>
          <w:szCs w:val="24"/>
          <w:lang w:val="en-US"/>
        </w:rPr>
        <w:t xml:space="preserve">Sugestões de Leitura: </w:t>
      </w:r>
    </w:p>
    <w:p w14:paraId="021D06D0" w14:textId="77777777" w:rsidR="0028707C" w:rsidRPr="00F5628C" w:rsidRDefault="0028707C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E9B1728" w14:textId="77777777" w:rsidR="0028707C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>•</w:t>
      </w: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ab/>
        <w:t>Básica:</w:t>
      </w:r>
    </w:p>
    <w:p w14:paraId="0ED418DA" w14:textId="77777777" w:rsidR="0028707C" w:rsidRPr="00472D66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</w:p>
    <w:p w14:paraId="59531077" w14:textId="615071A9" w:rsidR="0028707C" w:rsidRPr="00196F33" w:rsidRDefault="00C25D63" w:rsidP="00191056">
      <w:pPr>
        <w:jc w:val="both"/>
        <w:rPr>
          <w:lang w:val="en-US"/>
        </w:rPr>
      </w:pPr>
      <w:r w:rsidRPr="00C25D63">
        <w:rPr>
          <w:lang w:val="en-US"/>
        </w:rPr>
        <w:t xml:space="preserve">[6] DEL PUPO, E. Trade, sustainability, and agribusiness: Brazilian interest groups in EU-Mercosur negotiations. </w:t>
      </w:r>
      <w:r w:rsidRPr="00196F33">
        <w:rPr>
          <w:lang w:val="en-US"/>
        </w:rPr>
        <w:t>Globalizations, v. 22, n. 6, 1123, 2025.</w:t>
      </w:r>
    </w:p>
    <w:p w14:paraId="6283385B" w14:textId="77777777" w:rsidR="00C25D63" w:rsidRPr="00472D66" w:rsidRDefault="00C25D63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62AB8942" w14:textId="77777777" w:rsidR="0028707C" w:rsidRPr="00196F33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pt-BR"/>
        </w:rPr>
      </w:pPr>
      <w:r w:rsidRPr="00196F33">
        <w:rPr>
          <w:rFonts w:eastAsiaTheme="majorEastAsia"/>
          <w:b/>
          <w:bCs/>
          <w:spacing w:val="-2"/>
          <w:sz w:val="24"/>
          <w:szCs w:val="24"/>
          <w:lang w:val="pt-BR"/>
        </w:rPr>
        <w:t>•</w:t>
      </w:r>
      <w:r w:rsidRPr="00196F33">
        <w:rPr>
          <w:rFonts w:eastAsiaTheme="majorEastAsia"/>
          <w:b/>
          <w:bCs/>
          <w:spacing w:val="-2"/>
          <w:sz w:val="24"/>
          <w:szCs w:val="24"/>
          <w:lang w:val="pt-BR"/>
        </w:rPr>
        <w:tab/>
        <w:t xml:space="preserve">Complementar: </w:t>
      </w:r>
    </w:p>
    <w:p w14:paraId="69BD959F" w14:textId="77777777" w:rsidR="0028707C" w:rsidRPr="00196F33" w:rsidRDefault="0028707C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pt-BR"/>
        </w:rPr>
      </w:pPr>
    </w:p>
    <w:p w14:paraId="528E4CF3" w14:textId="77777777" w:rsidR="009818BB" w:rsidRDefault="00C25D63" w:rsidP="00191056">
      <w:pPr>
        <w:jc w:val="both"/>
        <w:rPr>
          <w:lang w:val="en-US"/>
        </w:rPr>
      </w:pPr>
      <w:r w:rsidRPr="00196F33">
        <w:rPr>
          <w:lang w:val="pt-BR"/>
        </w:rPr>
        <w:lastRenderedPageBreak/>
        <w:t xml:space="preserve">[1] ALVES, E. et al. </w:t>
      </w:r>
      <w:r w:rsidRPr="00C25D63">
        <w:rPr>
          <w:lang w:val="en-US"/>
        </w:rPr>
        <w:t xml:space="preserve">Do non-state actors influence climate change policy? Evidence from the Brazilian nationally determined contributions for COP21. Journal of Politics in Latin America, v. 14, n. 1, 2022. </w:t>
      </w:r>
    </w:p>
    <w:p w14:paraId="6A583E2E" w14:textId="77777777" w:rsidR="009818BB" w:rsidRDefault="009818BB" w:rsidP="00191056">
      <w:pPr>
        <w:jc w:val="both"/>
        <w:rPr>
          <w:lang w:val="en-US"/>
        </w:rPr>
      </w:pPr>
    </w:p>
    <w:p w14:paraId="61A51C65" w14:textId="77777777" w:rsidR="009818BB" w:rsidRDefault="00C25D63" w:rsidP="00191056">
      <w:pPr>
        <w:jc w:val="both"/>
      </w:pPr>
      <w:r w:rsidRPr="00C25D63">
        <w:rPr>
          <w:lang w:val="en-US"/>
        </w:rPr>
        <w:t xml:space="preserve">[2] AMORIM, B. E. et al. Brazil’s foreign policy, the environmental agenda, and the agribusiness storylines. </w:t>
      </w:r>
      <w:r>
        <w:t xml:space="preserve">Research, Society and Development, v. 12, n. 2, 2023. </w:t>
      </w:r>
    </w:p>
    <w:p w14:paraId="1155EBD2" w14:textId="77777777" w:rsidR="009818BB" w:rsidRDefault="009818BB" w:rsidP="00191056">
      <w:pPr>
        <w:jc w:val="both"/>
      </w:pPr>
    </w:p>
    <w:p w14:paraId="4F29B493" w14:textId="382AEBCE" w:rsidR="0028707C" w:rsidRDefault="00C25D63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>
        <w:t>[11] SIEBENEICHLER, A. O latifúndio como formulador de política externa e o desmonte de políticas ambientais. Revista Neiba, v. 10, 2021.</w:t>
      </w:r>
    </w:p>
    <w:p w14:paraId="6B675246" w14:textId="77777777" w:rsidR="0074031A" w:rsidRDefault="0074031A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0A98A3D8" w14:textId="4BB100D2" w:rsidR="004145DA" w:rsidRPr="0074031A" w:rsidRDefault="004145DA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Aula</w:t>
      </w:r>
      <w:r w:rsidRPr="0074031A">
        <w:rPr>
          <w:rFonts w:eastAsiaTheme="majorEastAsia"/>
          <w:b/>
          <w:spacing w:val="-2"/>
          <w:sz w:val="24"/>
          <w:szCs w:val="24"/>
        </w:rPr>
        <w:t xml:space="preserve"> </w:t>
      </w:r>
      <w:r w:rsidR="009818BB">
        <w:rPr>
          <w:rFonts w:eastAsiaTheme="majorEastAsia"/>
          <w:b/>
          <w:spacing w:val="-2"/>
          <w:sz w:val="24"/>
          <w:szCs w:val="24"/>
        </w:rPr>
        <w:t>4</w:t>
      </w:r>
      <w:r w:rsidRPr="0074031A">
        <w:rPr>
          <w:rFonts w:eastAsiaTheme="majorEastAsia"/>
          <w:b/>
          <w:spacing w:val="-2"/>
          <w:sz w:val="24"/>
          <w:szCs w:val="24"/>
        </w:rPr>
        <w:t xml:space="preserve">: </w:t>
      </w:r>
      <w:r w:rsidR="005B74EE" w:rsidRPr="005B74EE">
        <w:rPr>
          <w:rFonts w:eastAsiaTheme="majorEastAsia"/>
          <w:b/>
          <w:spacing w:val="-2"/>
          <w:sz w:val="24"/>
          <w:szCs w:val="24"/>
        </w:rPr>
        <w:t>Mecanismos de RelGov e Cenários Futuros</w:t>
      </w:r>
    </w:p>
    <w:p w14:paraId="1CD24726" w14:textId="77777777" w:rsidR="004145DA" w:rsidRPr="0074031A" w:rsidRDefault="004145DA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4A0040B0" w14:textId="77777777" w:rsidR="004145DA" w:rsidRPr="004145DA" w:rsidRDefault="004145DA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  <w:r w:rsidRPr="004145DA">
        <w:rPr>
          <w:rFonts w:eastAsiaTheme="majorEastAsia"/>
          <w:b/>
          <w:spacing w:val="-2"/>
          <w:sz w:val="24"/>
          <w:szCs w:val="24"/>
          <w:lang w:val="pt-BR"/>
        </w:rPr>
        <w:t xml:space="preserve">Objetivos Específicos: </w:t>
      </w:r>
    </w:p>
    <w:p w14:paraId="06BE8F82" w14:textId="77777777" w:rsidR="004145DA" w:rsidRPr="00F5628C" w:rsidRDefault="004145DA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57943376" w14:textId="0BDB2B38" w:rsidR="004145DA" w:rsidRDefault="005B74EE" w:rsidP="00191056">
      <w:pPr>
        <w:jc w:val="both"/>
        <w:rPr>
          <w:rFonts w:eastAsiaTheme="majorEastAsia"/>
          <w:spacing w:val="-2"/>
          <w:sz w:val="24"/>
          <w:szCs w:val="24"/>
        </w:rPr>
      </w:pPr>
      <w:r w:rsidRPr="005B74EE">
        <w:rPr>
          <w:rFonts w:eastAsiaTheme="majorEastAsia"/>
          <w:spacing w:val="-2"/>
          <w:sz w:val="24"/>
          <w:szCs w:val="24"/>
        </w:rPr>
        <w:t>Sistematizar os mecanismos de influência (agenda-setting, decisão, implementação e feedback) e discutir o futuro da profissão de RelGov na interface internacional.</w:t>
      </w:r>
      <w:r w:rsidR="004145DA" w:rsidRPr="00FA7D28">
        <w:rPr>
          <w:rFonts w:eastAsiaTheme="majorEastAsia"/>
          <w:spacing w:val="-2"/>
          <w:sz w:val="24"/>
          <w:szCs w:val="24"/>
        </w:rPr>
        <w:t>.</w:t>
      </w:r>
    </w:p>
    <w:p w14:paraId="6B870969" w14:textId="77777777" w:rsidR="004145DA" w:rsidRPr="00F5628C" w:rsidRDefault="004145DA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25A1E889" w14:textId="77777777" w:rsidR="00916BDA" w:rsidRDefault="004145DA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  <w:r w:rsidRPr="004145DA">
        <w:rPr>
          <w:rFonts w:eastAsiaTheme="majorEastAsia"/>
          <w:b/>
          <w:spacing w:val="-2"/>
          <w:sz w:val="24"/>
          <w:szCs w:val="24"/>
          <w:lang w:val="pt-BR"/>
        </w:rPr>
        <w:t>Conteúdo Programático:</w:t>
      </w:r>
    </w:p>
    <w:p w14:paraId="13D5BC98" w14:textId="77777777" w:rsidR="00916BDA" w:rsidRDefault="00916BDA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pt-BR"/>
        </w:rPr>
      </w:pPr>
    </w:p>
    <w:p w14:paraId="2C7216E3" w14:textId="5D0B708C" w:rsidR="00916BDA" w:rsidRPr="00916BDA" w:rsidRDefault="005B74EE" w:rsidP="00191056">
      <w:pPr>
        <w:pStyle w:val="PargrafodaLista"/>
        <w:numPr>
          <w:ilvl w:val="0"/>
          <w:numId w:val="13"/>
        </w:numPr>
        <w:jc w:val="both"/>
      </w:pPr>
      <w:r>
        <w:t xml:space="preserve">Mecanismos de influência: Participação procedimental vs. influência substantiva [15] [10]. </w:t>
      </w:r>
    </w:p>
    <w:p w14:paraId="2445CF11" w14:textId="77777777" w:rsidR="00916BDA" w:rsidRDefault="005B74EE" w:rsidP="00191056">
      <w:pPr>
        <w:pStyle w:val="PargrafodaLista"/>
        <w:widowControl/>
        <w:numPr>
          <w:ilvl w:val="0"/>
          <w:numId w:val="13"/>
        </w:numPr>
        <w:autoSpaceDE/>
        <w:autoSpaceDN/>
        <w:spacing w:after="160" w:line="259" w:lineRule="auto"/>
        <w:jc w:val="both"/>
      </w:pPr>
      <w:r>
        <w:t xml:space="preserve">Efeitos de Feedback: Crises reputacionais e realinhamento de coalizões [2]. </w:t>
      </w:r>
    </w:p>
    <w:p w14:paraId="6B6C4D0C" w14:textId="7E0BC307" w:rsidR="005B74EE" w:rsidRDefault="005B74EE" w:rsidP="00191056">
      <w:pPr>
        <w:pStyle w:val="PargrafodaLista"/>
        <w:widowControl/>
        <w:numPr>
          <w:ilvl w:val="0"/>
          <w:numId w:val="13"/>
        </w:numPr>
        <w:autoSpaceDE/>
        <w:autoSpaceDN/>
        <w:spacing w:after="160" w:line="259" w:lineRule="auto"/>
        <w:jc w:val="both"/>
      </w:pPr>
      <w:r>
        <w:t xml:space="preserve">Tendências: Transição energética, economia digital e o “Não-Alinhamento Ativo” [14] [7]. </w:t>
      </w:r>
    </w:p>
    <w:p w14:paraId="21051A9A" w14:textId="572D7709" w:rsidR="004145DA" w:rsidRDefault="005B74EE" w:rsidP="00191056">
      <w:pPr>
        <w:pStyle w:val="PargrafodaLista"/>
        <w:widowControl/>
        <w:numPr>
          <w:ilvl w:val="0"/>
          <w:numId w:val="13"/>
        </w:numPr>
        <w:autoSpaceDE/>
        <w:autoSpaceDN/>
        <w:spacing w:after="160" w:line="259" w:lineRule="auto"/>
        <w:jc w:val="both"/>
      </w:pPr>
      <w:r>
        <w:t xml:space="preserve">O futuro de RelGov: Profissionalização do advocacy internacional e gestão de riscos geopolíticos. </w:t>
      </w:r>
    </w:p>
    <w:p w14:paraId="5983C0E2" w14:textId="77777777" w:rsidR="00610D56" w:rsidRDefault="00610D56" w:rsidP="00191056">
      <w:pPr>
        <w:pStyle w:val="PargrafodaLista"/>
        <w:widowControl/>
        <w:autoSpaceDE/>
        <w:autoSpaceDN/>
        <w:spacing w:after="160" w:line="259" w:lineRule="auto"/>
        <w:jc w:val="both"/>
      </w:pPr>
    </w:p>
    <w:p w14:paraId="5BDA567E" w14:textId="77777777" w:rsidR="004145DA" w:rsidRPr="000376F4" w:rsidRDefault="004145DA" w:rsidP="00191056">
      <w:pPr>
        <w:pStyle w:val="PargrafodaLista"/>
        <w:ind w:left="0"/>
        <w:jc w:val="both"/>
        <w:rPr>
          <w:rFonts w:eastAsiaTheme="majorEastAsia"/>
          <w:b/>
          <w:spacing w:val="-2"/>
          <w:sz w:val="24"/>
          <w:szCs w:val="24"/>
          <w:lang w:val="en-US"/>
        </w:rPr>
      </w:pPr>
      <w:r w:rsidRPr="000376F4">
        <w:rPr>
          <w:rFonts w:eastAsiaTheme="majorEastAsia"/>
          <w:b/>
          <w:spacing w:val="-2"/>
          <w:sz w:val="24"/>
          <w:szCs w:val="24"/>
          <w:lang w:val="en-US"/>
        </w:rPr>
        <w:t xml:space="preserve">Sugestões de Leitura: </w:t>
      </w:r>
    </w:p>
    <w:p w14:paraId="623503BA" w14:textId="77777777" w:rsidR="004145DA" w:rsidRPr="00F5628C" w:rsidRDefault="004145DA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6DCDC40" w14:textId="77777777" w:rsidR="004145DA" w:rsidRDefault="004145DA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>•</w:t>
      </w:r>
      <w:r w:rsidRPr="00472D66">
        <w:rPr>
          <w:rFonts w:eastAsiaTheme="majorEastAsia"/>
          <w:b/>
          <w:bCs/>
          <w:spacing w:val="-2"/>
          <w:sz w:val="24"/>
          <w:szCs w:val="24"/>
          <w:lang w:val="en-US"/>
        </w:rPr>
        <w:tab/>
        <w:t>Básica:</w:t>
      </w:r>
    </w:p>
    <w:p w14:paraId="01FA4963" w14:textId="77777777" w:rsidR="004145DA" w:rsidRPr="00472D66" w:rsidRDefault="004145DA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en-US"/>
        </w:rPr>
      </w:pPr>
    </w:p>
    <w:p w14:paraId="56F3D5B0" w14:textId="40E7F9E0" w:rsidR="004145DA" w:rsidRDefault="00610D56" w:rsidP="00191056">
      <w:pPr>
        <w:jc w:val="both"/>
      </w:pPr>
      <w:r w:rsidRPr="00610D56">
        <w:rPr>
          <w:lang w:val="en-US"/>
        </w:rPr>
        <w:t xml:space="preserve">[15] VIEIRA, V. When procedural legitimacy equals nothing: Civil society and foreign trade policy in Brazil and Mexico. </w:t>
      </w:r>
      <w:r>
        <w:t>Contexto internacional, v. 38, 2016.</w:t>
      </w:r>
    </w:p>
    <w:p w14:paraId="6CFC4AF5" w14:textId="77777777" w:rsidR="00610D56" w:rsidRPr="00196F33" w:rsidRDefault="00610D56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6359B6CC" w14:textId="77777777" w:rsidR="004145DA" w:rsidRPr="00196F33" w:rsidRDefault="004145DA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pt-BR"/>
        </w:rPr>
      </w:pPr>
      <w:r w:rsidRPr="00196F33">
        <w:rPr>
          <w:rFonts w:eastAsiaTheme="majorEastAsia"/>
          <w:b/>
          <w:bCs/>
          <w:spacing w:val="-2"/>
          <w:sz w:val="24"/>
          <w:szCs w:val="24"/>
          <w:lang w:val="pt-BR"/>
        </w:rPr>
        <w:t>•</w:t>
      </w:r>
      <w:r w:rsidRPr="00196F33">
        <w:rPr>
          <w:rFonts w:eastAsiaTheme="majorEastAsia"/>
          <w:b/>
          <w:bCs/>
          <w:spacing w:val="-2"/>
          <w:sz w:val="24"/>
          <w:szCs w:val="24"/>
          <w:lang w:val="pt-BR"/>
        </w:rPr>
        <w:tab/>
        <w:t xml:space="preserve">Complementar: </w:t>
      </w:r>
    </w:p>
    <w:p w14:paraId="03C6A59A" w14:textId="77777777" w:rsidR="004145DA" w:rsidRPr="00196F33" w:rsidRDefault="004145DA" w:rsidP="00191056">
      <w:pPr>
        <w:jc w:val="both"/>
        <w:rPr>
          <w:rFonts w:eastAsiaTheme="majorEastAsia"/>
          <w:b/>
          <w:bCs/>
          <w:spacing w:val="-2"/>
          <w:sz w:val="24"/>
          <w:szCs w:val="24"/>
          <w:lang w:val="pt-BR"/>
        </w:rPr>
      </w:pPr>
    </w:p>
    <w:p w14:paraId="73E31BCB" w14:textId="77777777" w:rsidR="00857914" w:rsidRPr="00196F33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39E744B7" w14:textId="43E7E1CA" w:rsid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857914">
        <w:rPr>
          <w:rFonts w:eastAsiaTheme="majorEastAsia"/>
          <w:spacing w:val="-2"/>
          <w:sz w:val="24"/>
          <w:szCs w:val="24"/>
          <w:lang w:val="pt-BR"/>
        </w:rPr>
        <w:t xml:space="preserve">[14] TASQUETTO, Lucas Da Silva et al. O Brasil em meio à corrida regulatória pela governança da economia digital. Revista Brasileira de Políticas Públicas, v. 13, n. 3, 2023. </w:t>
      </w:r>
    </w:p>
    <w:p w14:paraId="42B9DA8B" w14:textId="77777777" w:rsidR="00857914" w:rsidRP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52B316EE" w14:textId="17226C0F" w:rsid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196F33">
        <w:rPr>
          <w:rFonts w:eastAsiaTheme="majorEastAsia"/>
          <w:spacing w:val="-2"/>
          <w:sz w:val="24"/>
          <w:szCs w:val="24"/>
          <w:lang w:val="pt-BR"/>
        </w:rPr>
        <w:t xml:space="preserve">[10] MESQUITA, L.; LOPES, D. Does participation generate democratization? </w:t>
      </w:r>
      <w:r w:rsidRPr="00857914">
        <w:rPr>
          <w:rFonts w:eastAsiaTheme="majorEastAsia"/>
          <w:spacing w:val="-2"/>
          <w:sz w:val="24"/>
          <w:szCs w:val="24"/>
          <w:lang w:val="en-US"/>
        </w:rPr>
        <w:t xml:space="preserve">Analysis of social participation by institutional means in Argentine, Brazilian and Uruguayan foreign policies. Journal of Civil Society, v. 14, n. 3, 2018.  </w:t>
      </w:r>
    </w:p>
    <w:p w14:paraId="51DC79C9" w14:textId="77777777" w:rsidR="00857914" w:rsidRP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3F7DF1E5" w14:textId="03175062" w:rsid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857914">
        <w:rPr>
          <w:rFonts w:eastAsiaTheme="majorEastAsia"/>
          <w:spacing w:val="-2"/>
          <w:sz w:val="24"/>
          <w:szCs w:val="24"/>
          <w:lang w:val="en-US"/>
        </w:rPr>
        <w:t xml:space="preserve">[2] AMORIM, B. E. et al. Brazil’s foreign policy, the environmental agenda, and the agribusiness storylines. Research, Society and Development, v. 12, n. 2, 2023. </w:t>
      </w:r>
    </w:p>
    <w:p w14:paraId="556396D9" w14:textId="77777777" w:rsidR="00857914" w:rsidRP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517515A" w14:textId="7CAA3944" w:rsidR="004145DA" w:rsidRPr="00857914" w:rsidRDefault="00857914" w:rsidP="00191056">
      <w:pPr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857914">
        <w:rPr>
          <w:rFonts w:eastAsiaTheme="majorEastAsia"/>
          <w:spacing w:val="-2"/>
          <w:sz w:val="24"/>
          <w:szCs w:val="24"/>
          <w:lang w:val="en-US"/>
        </w:rPr>
        <w:lastRenderedPageBreak/>
        <w:t xml:space="preserve">[7] FALEIRO, A. Lula 3.0: foreign policy reconstruction and Brazil’s return to the world. Revista </w:t>
      </w:r>
      <w:r w:rsidRPr="00857914">
        <w:rPr>
          <w:rFonts w:eastAsiaTheme="majorEastAsia"/>
          <w:spacing w:val="-2"/>
          <w:sz w:val="24"/>
          <w:szCs w:val="24"/>
          <w:lang w:val="pt-BR"/>
        </w:rPr>
        <w:t>Brasileira de Política Internacional, v. 68, n. 1, 2025.</w:t>
      </w:r>
    </w:p>
    <w:p w14:paraId="0018D8DA" w14:textId="77777777" w:rsidR="0074031A" w:rsidRPr="0074031A" w:rsidRDefault="0074031A" w:rsidP="00191056">
      <w:pPr>
        <w:jc w:val="both"/>
        <w:rPr>
          <w:rFonts w:eastAsiaTheme="majorEastAsia"/>
          <w:spacing w:val="-2"/>
          <w:sz w:val="24"/>
          <w:szCs w:val="24"/>
        </w:rPr>
      </w:pPr>
    </w:p>
    <w:p w14:paraId="6C506CF4" w14:textId="3FBDC955" w:rsidR="006370E0" w:rsidRDefault="006370E0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Bibliografia</w:t>
      </w:r>
      <w:r>
        <w:rPr>
          <w:rFonts w:eastAsiaTheme="majorEastAsia"/>
          <w:b/>
          <w:spacing w:val="-2"/>
          <w:sz w:val="24"/>
          <w:szCs w:val="24"/>
        </w:rPr>
        <w:br/>
      </w:r>
    </w:p>
    <w:p w14:paraId="48E68E68" w14:textId="77777777" w:rsidR="00204CA7" w:rsidRDefault="00204CA7" w:rsidP="00191056">
      <w:pPr>
        <w:pStyle w:val="PargrafodaLista"/>
        <w:ind w:left="0" w:firstLine="11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[1] ALVES, E. et al. Do non-state actors influence climate change policy? Evidence from the Brazilian nationally determined contributions for COP21. Journal of Politics in Latin America, v. 14, n. 1, 2022. </w:t>
      </w:r>
    </w:p>
    <w:p w14:paraId="13B18C38" w14:textId="77777777" w:rsidR="00204CA7" w:rsidRDefault="00204CA7" w:rsidP="00191056">
      <w:pPr>
        <w:pStyle w:val="PargrafodaLista"/>
        <w:ind w:left="0" w:firstLine="11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174ABECA" w14:textId="3C3054A8" w:rsidR="00204CA7" w:rsidRDefault="00204CA7" w:rsidP="00191056">
      <w:pPr>
        <w:pStyle w:val="PargrafodaLista"/>
        <w:ind w:left="0" w:firstLine="11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[2] AMORIM, B. E. et al. Brazil’s foreign policy, the environmental agenda, and the agribusiness storylines. Research, Society and Development, v. 12, n. 2, 2023. </w:t>
      </w:r>
    </w:p>
    <w:p w14:paraId="3A0910FA" w14:textId="77777777" w:rsidR="00204CA7" w:rsidRPr="00204CA7" w:rsidRDefault="00204CA7" w:rsidP="00191056">
      <w:pPr>
        <w:pStyle w:val="PargrafodaLista"/>
        <w:ind w:left="0" w:firstLine="11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163E3C33" w14:textId="578A94DE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[3] CARDOSO, D. Network governance and the making of Brazil’s foreign policy towards China in the 21st century. Contexto Internacional, v. 38, 2016.  </w:t>
      </w:r>
    </w:p>
    <w:p w14:paraId="4E745865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2F21450" w14:textId="54709FD9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[4] CARDOSO, D. From centralisation to fragmentation and back again: the role of non-state actors in Brazil’s transformed foreign policy. </w:t>
      </w:r>
      <w:r w:rsidRPr="00196F33">
        <w:rPr>
          <w:rFonts w:eastAsiaTheme="majorEastAsia"/>
          <w:spacing w:val="-2"/>
          <w:sz w:val="24"/>
          <w:szCs w:val="24"/>
          <w:lang w:val="pt-BR"/>
        </w:rPr>
        <w:t xml:space="preserve">Third World Quarterly, v. 40, n. 10, 2019. </w:t>
      </w:r>
    </w:p>
    <w:p w14:paraId="47F88595" w14:textId="77777777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370B6A63" w14:textId="74789225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</w:rPr>
        <w:t xml:space="preserve">[5] CARVALHO, M. Condicionantes internacionais e domésticos: o Brasil e o G-20 nas negociações agrícolas da Rodada Doha. </w:t>
      </w:r>
      <w:r w:rsidRPr="00196F33">
        <w:rPr>
          <w:rFonts w:eastAsiaTheme="majorEastAsia"/>
          <w:spacing w:val="-2"/>
          <w:sz w:val="24"/>
          <w:szCs w:val="24"/>
          <w:lang w:val="en-US"/>
        </w:rPr>
        <w:t xml:space="preserve">Dados, v. 53, n. 2, 2010. </w:t>
      </w:r>
    </w:p>
    <w:p w14:paraId="152C95CC" w14:textId="77777777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475BEC53" w14:textId="34032235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[6] DEL PUPO, E. Trade, sustainability, and agribusiness: Brazilian interest groups in EU-Mercosur negotiations. Globalizations, v. 22, n. 6, 1123, 2025. </w:t>
      </w:r>
    </w:p>
    <w:p w14:paraId="0B026A65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BE8BB39" w14:textId="348E7C6C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[7] FALEIRO, A. Lula 3.0: foreign policy reconstruction and Brazil’s return to the world. </w:t>
      </w:r>
      <w:r w:rsidRPr="00204CA7">
        <w:rPr>
          <w:rFonts w:eastAsiaTheme="majorEastAsia"/>
          <w:spacing w:val="-2"/>
          <w:sz w:val="24"/>
          <w:szCs w:val="24"/>
        </w:rPr>
        <w:t xml:space="preserve">Revista Brasileira de Política Internacional, v. 68, n. 1, 2025. </w:t>
      </w:r>
    </w:p>
    <w:p w14:paraId="397D9831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</w:p>
    <w:p w14:paraId="4CB28D73" w14:textId="57BABA7E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</w:rPr>
        <w:t xml:space="preserve">[8] GONÇALVES, F. C. I. et al. </w:t>
      </w: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Representing Agribusiness Interests in Brazilian Foreign Policy: The Role of the Parliamentary Agricultural Front (FPA) Between 2015 and 2022. Brazilian Political Science Review, v. 19, 2025. </w:t>
      </w:r>
    </w:p>
    <w:p w14:paraId="30AE56F0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2990D40A" w14:textId="1E4634FD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>[9] MAITINO, M. Issue Area and Pluralization In Brazilian Foreign Policy: an Exploratory Study of Decision</w:t>
      </w:r>
      <w:r>
        <w:rPr>
          <w:rFonts w:eastAsiaTheme="majorEastAsia"/>
          <w:spacing w:val="-2"/>
          <w:sz w:val="24"/>
          <w:szCs w:val="24"/>
          <w:lang w:val="en-US"/>
        </w:rPr>
        <w:t xml:space="preserve"> </w:t>
      </w: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Making Processes in the Fernando Henrique Cardoso Government. Dados, v. 67, n. 4, 2023. </w:t>
      </w:r>
    </w:p>
    <w:p w14:paraId="66FBD15D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39C29E6D" w14:textId="4A4EFD38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pt-BR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[10] MESQUITA, L.; LOPES, D. Does participation generate democratization? Analysis of social participation by institutional means in Argentine, Brazilian and Uruguayan foreign policies. </w:t>
      </w:r>
      <w:r w:rsidRPr="00196F33">
        <w:rPr>
          <w:rFonts w:eastAsiaTheme="majorEastAsia"/>
          <w:spacing w:val="-2"/>
          <w:sz w:val="24"/>
          <w:szCs w:val="24"/>
          <w:lang w:val="pt-BR"/>
        </w:rPr>
        <w:t xml:space="preserve">Journal of Civil Society, v. 14, n. 3, 2018. </w:t>
      </w:r>
    </w:p>
    <w:p w14:paraId="056B20A3" w14:textId="77777777" w:rsidR="00204CA7" w:rsidRPr="00196F33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pt-BR"/>
        </w:rPr>
      </w:pPr>
    </w:p>
    <w:p w14:paraId="3079C5A6" w14:textId="3D8B7A70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  <w:r w:rsidRPr="00204CA7">
        <w:rPr>
          <w:rFonts w:eastAsiaTheme="majorEastAsia"/>
          <w:spacing w:val="-2"/>
          <w:sz w:val="24"/>
          <w:szCs w:val="24"/>
        </w:rPr>
        <w:t xml:space="preserve">[11] SIEBENEICHLER, A. O latifúndio como formulador de política externa e o desmonte de políticas ambientais. Revista Neiva, v. 10, 2021. </w:t>
      </w:r>
    </w:p>
    <w:p w14:paraId="2E20BE39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</w:p>
    <w:p w14:paraId="031C145C" w14:textId="73DA8FAD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</w:rPr>
        <w:t xml:space="preserve">[12] SILVA, R. O papel das coalizões de defesa da agricultura nas agendas da política comercial externa </w:t>
      </w:r>
      <w:r w:rsidRPr="00204CA7">
        <w:rPr>
          <w:rFonts w:eastAsiaTheme="majorEastAsia"/>
          <w:spacing w:val="-2"/>
          <w:sz w:val="24"/>
          <w:szCs w:val="24"/>
          <w:lang w:val="pt-BR"/>
        </w:rPr>
        <w:t xml:space="preserve">brasileira. </w:t>
      </w: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Encuentro Latinoamericano ELA, 2016. </w:t>
      </w:r>
    </w:p>
    <w:p w14:paraId="4196EF97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7765677D" w14:textId="123A6AC9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>[13] SØNDERGAARD, N.; SILVA, R. Reshaping the policy arena: how the agro-</w:t>
      </w:r>
      <w:r w:rsidRPr="00204CA7">
        <w:rPr>
          <w:rFonts w:eastAsiaTheme="majorEastAsia"/>
          <w:spacing w:val="-2"/>
          <w:sz w:val="24"/>
          <w:szCs w:val="24"/>
          <w:lang w:val="en-US"/>
        </w:rPr>
        <w:lastRenderedPageBreak/>
        <w:t xml:space="preserve">export policy network propelled Brazil within global agricultural governance. World Trade Review, v. 19, n. 4, 2020. </w:t>
      </w:r>
    </w:p>
    <w:p w14:paraId="597DEEE1" w14:textId="77777777" w:rsidR="00204CA7" w:rsidRP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  <w:lang w:val="en-US"/>
        </w:rPr>
      </w:pPr>
    </w:p>
    <w:p w14:paraId="1E80D918" w14:textId="1F421690" w:rsidR="00204CA7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  <w:r w:rsidRPr="00204CA7">
        <w:rPr>
          <w:rFonts w:eastAsiaTheme="majorEastAsia"/>
          <w:spacing w:val="-2"/>
          <w:sz w:val="24"/>
          <w:szCs w:val="24"/>
          <w:lang w:val="en-US"/>
        </w:rPr>
        <w:t xml:space="preserve">[14] TASQUETTO, L. S. et al. </w:t>
      </w:r>
      <w:r w:rsidRPr="00204CA7">
        <w:rPr>
          <w:rFonts w:eastAsiaTheme="majorEastAsia"/>
          <w:spacing w:val="-2"/>
          <w:sz w:val="24"/>
          <w:szCs w:val="24"/>
        </w:rPr>
        <w:t>O Brasil em meio à corrida regulatória pela governança</w:t>
      </w:r>
      <w:r w:rsidR="008169EB">
        <w:rPr>
          <w:rFonts w:eastAsiaTheme="majorEastAsia"/>
          <w:spacing w:val="-2"/>
          <w:sz w:val="24"/>
          <w:szCs w:val="24"/>
        </w:rPr>
        <w:t xml:space="preserve"> </w:t>
      </w:r>
      <w:r w:rsidRPr="00204CA7">
        <w:rPr>
          <w:rFonts w:eastAsiaTheme="majorEastAsia"/>
          <w:spacing w:val="-2"/>
          <w:sz w:val="24"/>
          <w:szCs w:val="24"/>
        </w:rPr>
        <w:t xml:space="preserve">da economia digital. Revista Brasileira de Políticas Públicas, v. 13, n. 3, 2023. </w:t>
      </w:r>
    </w:p>
    <w:p w14:paraId="4BE86C74" w14:textId="77777777" w:rsidR="008169EB" w:rsidRPr="00204CA7" w:rsidRDefault="008169EB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</w:p>
    <w:p w14:paraId="7EA9CD23" w14:textId="6B6CF410" w:rsidR="006370E0" w:rsidRDefault="00204CA7" w:rsidP="00191056">
      <w:pPr>
        <w:pStyle w:val="PargrafodaLista"/>
        <w:ind w:left="0"/>
        <w:jc w:val="both"/>
        <w:rPr>
          <w:rFonts w:eastAsiaTheme="majorEastAsia"/>
          <w:spacing w:val="-2"/>
          <w:sz w:val="24"/>
          <w:szCs w:val="24"/>
        </w:rPr>
      </w:pPr>
      <w:r w:rsidRPr="00196F33">
        <w:rPr>
          <w:rFonts w:eastAsiaTheme="majorEastAsia"/>
          <w:spacing w:val="-2"/>
          <w:sz w:val="24"/>
          <w:szCs w:val="24"/>
        </w:rPr>
        <w:t xml:space="preserve">[15] VIEIRA, V. When procedural legitimacy equals nothing: Civil society and foreign trade policy in Brazil and Mexico. </w:t>
      </w:r>
      <w:r w:rsidRPr="00204CA7">
        <w:rPr>
          <w:rFonts w:eastAsiaTheme="majorEastAsia"/>
          <w:spacing w:val="-2"/>
          <w:sz w:val="24"/>
          <w:szCs w:val="24"/>
        </w:rPr>
        <w:t>Contexto internacional, v. 38, 2016.</w:t>
      </w:r>
    </w:p>
    <w:p w14:paraId="0724AE31" w14:textId="77777777" w:rsidR="00204CA7" w:rsidRDefault="00204CA7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2100BD1D" w14:textId="6EE18B15" w:rsidR="006370E0" w:rsidRDefault="006370E0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Regras Para Certificação</w:t>
      </w:r>
    </w:p>
    <w:p w14:paraId="5DA19039" w14:textId="2350E18B" w:rsid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2FEFD655" w14:textId="77777777" w:rsidR="001A3358" w:rsidRDefault="006370E0" w:rsidP="00191056">
      <w:pPr>
        <w:jc w:val="both"/>
      </w:pPr>
      <w:r>
        <w:t>Para receber o certificado de participação, o(a) inscrito(a) deverá cumprir os seguintes requisitos: • Participar ao vivo de pelo menos um (1) dos dois encontros programados; • Ter a presença registrada por meio da lista de entrada na sala virtual durante o período da aula; • Em caso de ausência em um dos encontros, assistir integralmente à gravação correspondente, no prazo máximo de 10 (dez) dias corridos após o término do curso; • O acesso às gravações será disponibilizado exclusivamente aos participantes inscritos e por tempo determinado; e • O cumprimento dos critérios acima será condição obrigatória para a certificação.</w:t>
      </w:r>
    </w:p>
    <w:p w14:paraId="1AFCCB70" w14:textId="77777777" w:rsidR="001A3358" w:rsidRDefault="001A3358" w:rsidP="00191056">
      <w:pPr>
        <w:jc w:val="both"/>
      </w:pPr>
    </w:p>
    <w:p w14:paraId="46D511AE" w14:textId="1EFE407D" w:rsid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Prazos e envios de Certificados</w:t>
      </w:r>
    </w:p>
    <w:p w14:paraId="5EB7792E" w14:textId="0B15B2C8" w:rsid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776A5B6F" w14:textId="77777777" w:rsidR="001A3358" w:rsidRDefault="006370E0" w:rsidP="00191056">
      <w:pPr>
        <w:jc w:val="both"/>
      </w:pPr>
      <w:r>
        <w:t>Os certificados serão emitidos e enviados em até 20 (vinte) dias úteis após a conclusão do curso e a verificação da participação conforme os critérios estabelecidos</w:t>
      </w:r>
    </w:p>
    <w:p w14:paraId="07C0F872" w14:textId="77777777" w:rsidR="001A3358" w:rsidRDefault="001A3358" w:rsidP="00191056">
      <w:pPr>
        <w:jc w:val="both"/>
      </w:pPr>
    </w:p>
    <w:p w14:paraId="5FC126F8" w14:textId="4642B25A" w:rsidR="0074031A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Casos excepcionais</w:t>
      </w:r>
    </w:p>
    <w:p w14:paraId="59FEE609" w14:textId="77777777" w:rsidR="006370E0" w:rsidRDefault="006370E0" w:rsidP="00191056">
      <w:pPr>
        <w:pStyle w:val="PargrafodaLista"/>
        <w:jc w:val="both"/>
        <w:rPr>
          <w:rFonts w:eastAsiaTheme="majorEastAsia"/>
          <w:b/>
          <w:spacing w:val="-2"/>
          <w:sz w:val="24"/>
          <w:szCs w:val="24"/>
        </w:rPr>
      </w:pPr>
    </w:p>
    <w:p w14:paraId="78F6391E" w14:textId="035130FB" w:rsid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  <w:r>
        <w:t>Situações imprevistas (como problemas técnicos ou de saúde) devem ser comunicadas à equipe do IRELGOV por e-mail no prazo máximo de 48 horas após o ocorrido. Esses casos serão analisados individualmente quanto à possibilidade de certificação.</w:t>
      </w:r>
    </w:p>
    <w:p w14:paraId="523C4236" w14:textId="77777777" w:rsidR="006370E0" w:rsidRPr="006370E0" w:rsidRDefault="006370E0" w:rsidP="00191056">
      <w:pPr>
        <w:jc w:val="both"/>
        <w:rPr>
          <w:rFonts w:eastAsiaTheme="majorEastAsia"/>
          <w:b/>
          <w:spacing w:val="-2"/>
          <w:sz w:val="24"/>
          <w:szCs w:val="24"/>
        </w:rPr>
      </w:pPr>
    </w:p>
    <w:p w14:paraId="6C2A4081" w14:textId="707CDE56" w:rsidR="006370E0" w:rsidRPr="0074031A" w:rsidRDefault="006370E0" w:rsidP="00191056">
      <w:pPr>
        <w:pStyle w:val="PargrafodaLista"/>
        <w:numPr>
          <w:ilvl w:val="0"/>
          <w:numId w:val="8"/>
        </w:numPr>
        <w:jc w:val="both"/>
        <w:rPr>
          <w:rFonts w:eastAsiaTheme="majorEastAsia"/>
          <w:b/>
          <w:spacing w:val="-2"/>
          <w:sz w:val="24"/>
          <w:szCs w:val="24"/>
        </w:rPr>
      </w:pPr>
      <w:r>
        <w:rPr>
          <w:rFonts w:eastAsiaTheme="majorEastAsia"/>
          <w:b/>
          <w:spacing w:val="-2"/>
          <w:sz w:val="24"/>
          <w:szCs w:val="24"/>
        </w:rPr>
        <w:t>Confirmação de Turmas e Reembolso</w:t>
      </w:r>
    </w:p>
    <w:p w14:paraId="67E17F81" w14:textId="77777777" w:rsidR="0074031A" w:rsidRPr="001A3358" w:rsidRDefault="0074031A" w:rsidP="00191056">
      <w:pPr>
        <w:jc w:val="both"/>
      </w:pPr>
    </w:p>
    <w:p w14:paraId="422DF701" w14:textId="77777777" w:rsidR="001A3358" w:rsidRDefault="001A3358" w:rsidP="00191056">
      <w:pPr>
        <w:jc w:val="both"/>
      </w:pPr>
      <w:r>
        <w:t xml:space="preserve">A realização dos cursos do IRELGOV está condicionada à formação de turma com número mínimo de participantes, conforme definido pela organização. </w:t>
      </w:r>
    </w:p>
    <w:p w14:paraId="08936A59" w14:textId="77777777" w:rsidR="001A3358" w:rsidRDefault="001A3358" w:rsidP="00191056">
      <w:pPr>
        <w:jc w:val="both"/>
      </w:pPr>
    </w:p>
    <w:p w14:paraId="22789EC1" w14:textId="7869A95E" w:rsidR="00DD5644" w:rsidRPr="001A3358" w:rsidRDefault="001A3358" w:rsidP="00191056">
      <w:pPr>
        <w:jc w:val="both"/>
      </w:pPr>
      <w:r>
        <w:t>Caso o número mínimo não seja alcançado, o IRELGOV se compromete a informar os inscritos com antecedência e a reembolsar integralmente os valores pagos, exceto eventuais taxas administrativas cobradas por plataformas de pagamento, que são de responsabilidade do usuário e não são retidas pelo Instituto.</w:t>
      </w:r>
      <w:r>
        <w:br/>
      </w:r>
    </w:p>
    <w:p w14:paraId="13A32B4D" w14:textId="69F6D732" w:rsidR="00DD5644" w:rsidRDefault="00DD5644" w:rsidP="00191056">
      <w:pPr>
        <w:tabs>
          <w:tab w:val="left" w:pos="829"/>
          <w:tab w:val="left" w:pos="836"/>
          <w:tab w:val="left" w:pos="1660"/>
          <w:tab w:val="left" w:pos="2706"/>
          <w:tab w:val="left" w:pos="3156"/>
          <w:tab w:val="left" w:pos="3960"/>
          <w:tab w:val="left" w:pos="6194"/>
          <w:tab w:val="left" w:pos="7428"/>
          <w:tab w:val="left" w:pos="8047"/>
        </w:tabs>
        <w:spacing w:before="1" w:line="276" w:lineRule="auto"/>
        <w:ind w:right="345"/>
        <w:jc w:val="both"/>
        <w:rPr>
          <w:rFonts w:eastAsiaTheme="majorEastAsia"/>
          <w:b/>
          <w:spacing w:val="-2"/>
          <w:sz w:val="24"/>
          <w:szCs w:val="24"/>
        </w:rPr>
      </w:pPr>
    </w:p>
    <w:p w14:paraId="11C92ACE" w14:textId="77777777" w:rsidR="001A3358" w:rsidRDefault="001A3358" w:rsidP="00191056">
      <w:pPr>
        <w:tabs>
          <w:tab w:val="left" w:pos="829"/>
          <w:tab w:val="left" w:pos="836"/>
          <w:tab w:val="left" w:pos="1660"/>
          <w:tab w:val="left" w:pos="2706"/>
          <w:tab w:val="left" w:pos="3156"/>
          <w:tab w:val="left" w:pos="3960"/>
          <w:tab w:val="left" w:pos="6194"/>
          <w:tab w:val="left" w:pos="7428"/>
          <w:tab w:val="left" w:pos="8047"/>
        </w:tabs>
        <w:spacing w:before="1" w:line="276" w:lineRule="auto"/>
        <w:ind w:right="345"/>
        <w:jc w:val="both"/>
        <w:rPr>
          <w:rFonts w:eastAsiaTheme="majorEastAsia"/>
          <w:spacing w:val="-2"/>
          <w:sz w:val="24"/>
          <w:szCs w:val="24"/>
        </w:rPr>
      </w:pPr>
    </w:p>
    <w:p w14:paraId="3DAA9459" w14:textId="0EC76061" w:rsidR="00DD5644" w:rsidRPr="00DD5644" w:rsidRDefault="00DD5644" w:rsidP="00191056">
      <w:pPr>
        <w:tabs>
          <w:tab w:val="left" w:pos="829"/>
          <w:tab w:val="left" w:pos="836"/>
          <w:tab w:val="left" w:pos="1660"/>
          <w:tab w:val="left" w:pos="2706"/>
          <w:tab w:val="left" w:pos="3156"/>
          <w:tab w:val="left" w:pos="3960"/>
          <w:tab w:val="left" w:pos="6194"/>
          <w:tab w:val="left" w:pos="7428"/>
          <w:tab w:val="left" w:pos="8047"/>
        </w:tabs>
        <w:spacing w:before="1" w:line="276" w:lineRule="auto"/>
        <w:ind w:right="345"/>
        <w:jc w:val="both"/>
        <w:rPr>
          <w:rFonts w:eastAsiaTheme="majorEastAsia"/>
          <w:spacing w:val="-2"/>
          <w:sz w:val="24"/>
          <w:szCs w:val="24"/>
        </w:rPr>
      </w:pPr>
      <w:r>
        <w:rPr>
          <w:rFonts w:eastAsiaTheme="majorEastAsia"/>
          <w:spacing w:val="-2"/>
          <w:sz w:val="24"/>
          <w:szCs w:val="24"/>
        </w:rPr>
        <w:br/>
      </w:r>
      <w:r>
        <w:rPr>
          <w:rFonts w:eastAsiaTheme="majorEastAsia"/>
          <w:spacing w:val="-2"/>
          <w:sz w:val="24"/>
          <w:szCs w:val="24"/>
        </w:rPr>
        <w:br/>
      </w:r>
    </w:p>
    <w:sectPr w:rsidR="00DD5644" w:rsidRPr="00DD5644" w:rsidSect="00172C7D">
      <w:headerReference w:type="default" r:id="rId10"/>
      <w:footerReference w:type="default" r:id="rId11"/>
      <w:pgSz w:w="11906" w:h="16838"/>
      <w:pgMar w:top="1985" w:right="1416" w:bottom="1417" w:left="1701" w:header="680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12306" w14:textId="77777777" w:rsidR="000B4791" w:rsidRDefault="000B4791" w:rsidP="004C6434">
      <w:r>
        <w:separator/>
      </w:r>
    </w:p>
  </w:endnote>
  <w:endnote w:type="continuationSeparator" w:id="0">
    <w:p w14:paraId="208D2068" w14:textId="77777777" w:rsidR="000B4791" w:rsidRDefault="000B4791" w:rsidP="004C6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5AF70" w14:textId="6A88A1AB" w:rsidR="00436675" w:rsidRDefault="00436675" w:rsidP="00436675">
    <w:pPr>
      <w:pStyle w:val="Rodap"/>
      <w:tabs>
        <w:tab w:val="left" w:pos="637"/>
        <w:tab w:val="center" w:pos="4748"/>
      </w:tabs>
      <w:jc w:val="center"/>
      <w:rPr>
        <w:rFonts w:ascii="Century" w:hAnsi="Century"/>
        <w:color w:val="767171"/>
        <w:sz w:val="12"/>
        <w:szCs w:val="12"/>
      </w:rPr>
    </w:pPr>
    <w:r w:rsidRPr="00F63F96">
      <w:rPr>
        <w:rFonts w:ascii="Verdana" w:hAnsi="Verdana"/>
        <w:color w:val="404040"/>
        <w:sz w:val="12"/>
        <w:szCs w:val="12"/>
      </w:rPr>
      <w:t xml:space="preserve">Página </w:t>
    </w:r>
    <w:r w:rsidRPr="00F63F96">
      <w:rPr>
        <w:rFonts w:ascii="Verdana" w:hAnsi="Verdana"/>
        <w:color w:val="404040"/>
        <w:sz w:val="12"/>
        <w:szCs w:val="12"/>
      </w:rPr>
      <w:fldChar w:fldCharType="begin"/>
    </w:r>
    <w:r w:rsidRPr="00F63F96">
      <w:rPr>
        <w:rFonts w:ascii="Verdana" w:hAnsi="Verdana"/>
        <w:color w:val="404040"/>
        <w:sz w:val="12"/>
        <w:szCs w:val="12"/>
      </w:rPr>
      <w:instrText>PAGE  \* Arabic  \* MERGEFORMAT</w:instrText>
    </w:r>
    <w:r w:rsidRPr="00F63F96">
      <w:rPr>
        <w:rFonts w:ascii="Verdana" w:hAnsi="Verdana"/>
        <w:color w:val="404040"/>
        <w:sz w:val="12"/>
        <w:szCs w:val="12"/>
      </w:rPr>
      <w:fldChar w:fldCharType="separate"/>
    </w:r>
    <w:r w:rsidR="00594254">
      <w:rPr>
        <w:rFonts w:ascii="Verdana" w:hAnsi="Verdana"/>
        <w:noProof/>
        <w:color w:val="404040"/>
        <w:sz w:val="12"/>
        <w:szCs w:val="12"/>
      </w:rPr>
      <w:t>5</w:t>
    </w:r>
    <w:r w:rsidRPr="00F63F96">
      <w:rPr>
        <w:rFonts w:ascii="Verdana" w:hAnsi="Verdana"/>
        <w:color w:val="404040"/>
        <w:sz w:val="12"/>
        <w:szCs w:val="12"/>
      </w:rPr>
      <w:fldChar w:fldCharType="end"/>
    </w:r>
    <w:r w:rsidRPr="00F63F96">
      <w:rPr>
        <w:rFonts w:ascii="Verdana" w:hAnsi="Verdana"/>
        <w:color w:val="404040"/>
        <w:sz w:val="12"/>
        <w:szCs w:val="12"/>
      </w:rPr>
      <w:t xml:space="preserve"> de </w:t>
    </w:r>
    <w:r w:rsidRPr="00F63F96">
      <w:rPr>
        <w:rFonts w:ascii="Verdana" w:hAnsi="Verdana"/>
        <w:color w:val="404040"/>
        <w:sz w:val="12"/>
        <w:szCs w:val="12"/>
      </w:rPr>
      <w:fldChar w:fldCharType="begin"/>
    </w:r>
    <w:r w:rsidRPr="00F63F96">
      <w:rPr>
        <w:rFonts w:ascii="Verdana" w:hAnsi="Verdana"/>
        <w:color w:val="404040"/>
        <w:sz w:val="12"/>
        <w:szCs w:val="12"/>
      </w:rPr>
      <w:instrText>NUMPAGES \ * Arábico \ * MERGEFORMAT</w:instrText>
    </w:r>
    <w:r w:rsidRPr="00F63F96">
      <w:rPr>
        <w:rFonts w:ascii="Verdana" w:hAnsi="Verdana"/>
        <w:color w:val="404040"/>
        <w:sz w:val="12"/>
        <w:szCs w:val="12"/>
      </w:rPr>
      <w:fldChar w:fldCharType="separate"/>
    </w:r>
    <w:r w:rsidR="00594254">
      <w:rPr>
        <w:rFonts w:ascii="Verdana" w:hAnsi="Verdana"/>
        <w:noProof/>
        <w:color w:val="404040"/>
        <w:sz w:val="12"/>
        <w:szCs w:val="12"/>
      </w:rPr>
      <w:t>5</w:t>
    </w:r>
    <w:r w:rsidRPr="00F63F96">
      <w:rPr>
        <w:rFonts w:ascii="Verdana" w:hAnsi="Verdana"/>
        <w:color w:val="404040"/>
        <w:sz w:val="12"/>
        <w:szCs w:val="12"/>
      </w:rPr>
      <w:fldChar w:fldCharType="end"/>
    </w:r>
  </w:p>
  <w:p w14:paraId="323828B7" w14:textId="77777777" w:rsidR="00436675" w:rsidRDefault="00436675" w:rsidP="00436675">
    <w:pPr>
      <w:shd w:val="clear" w:color="auto" w:fill="FFFFFF"/>
      <w:tabs>
        <w:tab w:val="left" w:pos="4695"/>
      </w:tabs>
      <w:rPr>
        <w:rFonts w:ascii="Century" w:hAnsi="Century"/>
        <w:color w:val="767171"/>
        <w:sz w:val="14"/>
        <w:szCs w:val="14"/>
      </w:rPr>
    </w:pPr>
  </w:p>
  <w:tbl>
    <w:tblPr>
      <w:tblStyle w:val="Tabelacomgrade"/>
      <w:tblW w:w="10001" w:type="dxa"/>
      <w:tblInd w:w="-426" w:type="dxa"/>
      <w:tblBorders>
        <w:top w:val="single" w:sz="4" w:space="0" w:color="006666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05"/>
      <w:gridCol w:w="5196"/>
    </w:tblGrid>
    <w:tr w:rsidR="00436675" w14:paraId="1229A444" w14:textId="77777777" w:rsidTr="00514A92">
      <w:trPr>
        <w:trHeight w:val="237"/>
      </w:trPr>
      <w:tc>
        <w:tcPr>
          <w:tcW w:w="4805" w:type="dxa"/>
          <w:tcBorders>
            <w:top w:val="single" w:sz="4" w:space="0" w:color="006666"/>
            <w:left w:val="nil"/>
            <w:bottom w:val="nil"/>
            <w:right w:val="nil"/>
          </w:tcBorders>
        </w:tcPr>
        <w:p w14:paraId="2F7EC3D5" w14:textId="77777777" w:rsidR="00436675" w:rsidRDefault="00436675" w:rsidP="00436675">
          <w:pPr>
            <w:tabs>
              <w:tab w:val="left" w:pos="4695"/>
            </w:tabs>
            <w:rPr>
              <w:rFonts w:ascii="Century" w:hAnsi="Century"/>
              <w:color w:val="767171"/>
              <w:sz w:val="12"/>
              <w:szCs w:val="12"/>
            </w:rPr>
          </w:pPr>
        </w:p>
        <w:p w14:paraId="2D2B8391" w14:textId="1957471A" w:rsidR="00436675" w:rsidRPr="00A40DFE" w:rsidRDefault="00436675" w:rsidP="00436675">
          <w:pPr>
            <w:tabs>
              <w:tab w:val="left" w:pos="4695"/>
            </w:tabs>
            <w:rPr>
              <w:rFonts w:ascii="Century" w:hAnsi="Century"/>
              <w:color w:val="767171"/>
              <w:sz w:val="18"/>
              <w:szCs w:val="18"/>
            </w:rPr>
          </w:pPr>
          <w:r w:rsidRPr="00A40DFE">
            <w:rPr>
              <w:rFonts w:ascii="Century" w:hAnsi="Century"/>
              <w:color w:val="767171"/>
              <w:sz w:val="18"/>
              <w:szCs w:val="18"/>
            </w:rPr>
            <w:t xml:space="preserve">Rua Dr. Renato Paes de Barros n° 33 </w:t>
          </w:r>
        </w:p>
        <w:p w14:paraId="79632C90" w14:textId="77777777" w:rsidR="00436675" w:rsidRDefault="00436675" w:rsidP="00436675">
          <w:pPr>
            <w:tabs>
              <w:tab w:val="left" w:pos="4695"/>
            </w:tabs>
            <w:rPr>
              <w:rFonts w:ascii="Century" w:hAnsi="Century"/>
              <w:color w:val="767171"/>
              <w:sz w:val="18"/>
              <w:szCs w:val="18"/>
            </w:rPr>
          </w:pPr>
          <w:r w:rsidRPr="00A40DFE">
            <w:rPr>
              <w:rFonts w:ascii="Century" w:hAnsi="Century"/>
              <w:color w:val="767171"/>
              <w:sz w:val="18"/>
              <w:szCs w:val="18"/>
            </w:rPr>
            <w:t>Itaim Bibi | São Paulo - SP | CEP 04530-904</w:t>
          </w:r>
          <w:r>
            <w:rPr>
              <w:rFonts w:ascii="Century" w:hAnsi="Century"/>
              <w:color w:val="767171"/>
              <w:sz w:val="18"/>
              <w:szCs w:val="18"/>
            </w:rPr>
            <w:t xml:space="preserve">  </w:t>
          </w:r>
        </w:p>
        <w:p w14:paraId="6CB176D0" w14:textId="366C7E17" w:rsidR="00436675" w:rsidRDefault="00436675" w:rsidP="00436675">
          <w:pPr>
            <w:shd w:val="clear" w:color="auto" w:fill="FFFFFF"/>
            <w:tabs>
              <w:tab w:val="left" w:pos="4695"/>
            </w:tabs>
            <w:rPr>
              <w:rFonts w:ascii="Century" w:hAnsi="Century"/>
              <w:color w:val="767171"/>
              <w:sz w:val="18"/>
              <w:szCs w:val="18"/>
            </w:rPr>
          </w:pPr>
          <w:r>
            <w:rPr>
              <w:rFonts w:ascii="Century" w:hAnsi="Century"/>
              <w:color w:val="767171"/>
              <w:sz w:val="18"/>
              <w:szCs w:val="18"/>
            </w:rPr>
            <w:t xml:space="preserve">Telefone: +55 11 98536-0012                                                                                             </w:t>
          </w:r>
        </w:p>
      </w:tc>
      <w:tc>
        <w:tcPr>
          <w:tcW w:w="5196" w:type="dxa"/>
          <w:tcBorders>
            <w:top w:val="single" w:sz="4" w:space="0" w:color="006666"/>
            <w:left w:val="nil"/>
            <w:bottom w:val="nil"/>
            <w:right w:val="nil"/>
          </w:tcBorders>
        </w:tcPr>
        <w:p w14:paraId="6F27F5FB" w14:textId="77777777" w:rsidR="00436675" w:rsidRDefault="00436675" w:rsidP="00436675">
          <w:pPr>
            <w:tabs>
              <w:tab w:val="left" w:pos="4695"/>
            </w:tabs>
            <w:jc w:val="right"/>
            <w:rPr>
              <w:rFonts w:ascii="Century" w:hAnsi="Century"/>
              <w:color w:val="767171"/>
              <w:sz w:val="12"/>
              <w:szCs w:val="12"/>
            </w:rPr>
          </w:pPr>
        </w:p>
        <w:p w14:paraId="6B149817" w14:textId="77777777" w:rsidR="00436675" w:rsidRPr="00F63F96" w:rsidRDefault="00436675" w:rsidP="00436675">
          <w:pPr>
            <w:tabs>
              <w:tab w:val="left" w:pos="4695"/>
            </w:tabs>
            <w:jc w:val="right"/>
            <w:rPr>
              <w:rStyle w:val="Hyperlink"/>
              <w:color w:val="767171"/>
              <w:sz w:val="18"/>
              <w:szCs w:val="18"/>
            </w:rPr>
          </w:pPr>
          <w:r>
            <w:rPr>
              <w:rFonts w:ascii="Century" w:hAnsi="Century"/>
              <w:color w:val="767171"/>
              <w:sz w:val="18"/>
              <w:szCs w:val="18"/>
            </w:rPr>
            <w:t xml:space="preserve">E-mail: </w:t>
          </w:r>
          <w:hyperlink r:id="rId1" w:history="1">
            <w:r w:rsidRPr="00F63F96">
              <w:rPr>
                <w:rStyle w:val="Hyperlink"/>
                <w:rFonts w:ascii="Century" w:hAnsi="Century"/>
                <w:color w:val="767171"/>
                <w:sz w:val="18"/>
                <w:szCs w:val="18"/>
              </w:rPr>
              <w:t>irelgov@irelgov.com.br</w:t>
            </w:r>
          </w:hyperlink>
        </w:p>
        <w:p w14:paraId="101B9894" w14:textId="77777777" w:rsidR="00436675" w:rsidRDefault="00436675" w:rsidP="00436675">
          <w:pPr>
            <w:shd w:val="clear" w:color="auto" w:fill="FFFFFF"/>
            <w:jc w:val="right"/>
            <w:rPr>
              <w:color w:val="767171"/>
            </w:rPr>
          </w:pPr>
          <w:r>
            <w:rPr>
              <w:rFonts w:ascii="Century" w:hAnsi="Century"/>
              <w:color w:val="767171"/>
              <w:sz w:val="18"/>
              <w:szCs w:val="18"/>
            </w:rPr>
            <w:t xml:space="preserve">Site: </w:t>
          </w:r>
          <w:hyperlink r:id="rId2" w:history="1">
            <w:r>
              <w:rPr>
                <w:rStyle w:val="Hyperlink"/>
                <w:rFonts w:ascii="Century" w:hAnsi="Century"/>
                <w:color w:val="767171"/>
                <w:sz w:val="18"/>
                <w:szCs w:val="18"/>
              </w:rPr>
              <w:t>www.irelgov.com.br</w:t>
            </w:r>
          </w:hyperlink>
        </w:p>
        <w:p w14:paraId="0DB920BD" w14:textId="77777777" w:rsidR="00436675" w:rsidRDefault="00436675" w:rsidP="00436675">
          <w:pPr>
            <w:tabs>
              <w:tab w:val="left" w:pos="4695"/>
            </w:tabs>
            <w:rPr>
              <w:rFonts w:ascii="Century" w:hAnsi="Century"/>
              <w:color w:val="767171"/>
              <w:sz w:val="18"/>
              <w:szCs w:val="18"/>
            </w:rPr>
          </w:pPr>
        </w:p>
      </w:tc>
    </w:tr>
  </w:tbl>
  <w:p w14:paraId="3AA1B46C" w14:textId="77777777" w:rsidR="00593DC6" w:rsidRDefault="00593DC6" w:rsidP="0043667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B9A4D" w14:textId="77777777" w:rsidR="000B4791" w:rsidRDefault="000B4791" w:rsidP="004C6434">
      <w:r>
        <w:separator/>
      </w:r>
    </w:p>
  </w:footnote>
  <w:footnote w:type="continuationSeparator" w:id="0">
    <w:p w14:paraId="5FBD8D6C" w14:textId="77777777" w:rsidR="000B4791" w:rsidRDefault="000B4791" w:rsidP="004C64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3D736" w14:textId="0FC3B42C" w:rsidR="004C6434" w:rsidRDefault="000B4791">
    <w:pPr>
      <w:pStyle w:val="Cabealho"/>
    </w:pPr>
    <w:r>
      <w:rPr>
        <w:noProof/>
      </w:rPr>
      <w:pict w14:anchorId="57AF34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5050511" o:spid="_x0000_s2049" type="#_x0000_t75" alt="" style="position:absolute;margin-left:-86.55pt;margin-top:-119.45pt;width:592.25pt;height:807.85pt;z-index:-251658752;mso-wrap-edited:f;mso-width-percent:0;mso-height-percent:0;mso-position-horizontal-relative:margin;mso-position-vertical-relative:margin;mso-width-percent:0;mso-height-percent:0" o:allowincell="f">
          <v:imagedata r:id="rId1" o:title="timbrado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E83"/>
    <w:multiLevelType w:val="hybridMultilevel"/>
    <w:tmpl w:val="550405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127D1"/>
    <w:multiLevelType w:val="hybridMultilevel"/>
    <w:tmpl w:val="57E09D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E7203"/>
    <w:multiLevelType w:val="hybridMultilevel"/>
    <w:tmpl w:val="1D8CE5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36FF4"/>
    <w:multiLevelType w:val="hybridMultilevel"/>
    <w:tmpl w:val="550405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C71F4"/>
    <w:multiLevelType w:val="multilevel"/>
    <w:tmpl w:val="D53CE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D3A93"/>
    <w:multiLevelType w:val="hybridMultilevel"/>
    <w:tmpl w:val="4AFE5D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C1701"/>
    <w:multiLevelType w:val="hybridMultilevel"/>
    <w:tmpl w:val="66AE7C1E"/>
    <w:lvl w:ilvl="0" w:tplc="077448C2">
      <w:start w:val="1"/>
      <w:numFmt w:val="decimal"/>
      <w:lvlText w:val="%1."/>
      <w:lvlJc w:val="left"/>
      <w:pPr>
        <w:ind w:left="356" w:hanging="356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96688F7C">
      <w:start w:val="1"/>
      <w:numFmt w:val="lowerRoman"/>
      <w:lvlText w:val="%2)"/>
      <w:lvlJc w:val="left"/>
      <w:pPr>
        <w:ind w:left="1086" w:hanging="255"/>
      </w:pPr>
      <w:rPr>
        <w:rFonts w:ascii="Arial" w:eastAsia="Arial" w:hAnsi="Arial" w:cs="Arial" w:hint="default"/>
        <w:b/>
        <w:bCs/>
        <w:i w:val="0"/>
        <w:iCs w:val="0"/>
        <w:spacing w:val="-2"/>
        <w:w w:val="99"/>
        <w:sz w:val="22"/>
        <w:szCs w:val="22"/>
        <w:lang w:val="pt-PT" w:eastAsia="en-US" w:bidi="ar-SA"/>
      </w:rPr>
    </w:lvl>
    <w:lvl w:ilvl="2" w:tplc="202C9F38">
      <w:numFmt w:val="bullet"/>
      <w:lvlText w:val="•"/>
      <w:lvlJc w:val="left"/>
      <w:pPr>
        <w:ind w:left="2022" w:hanging="255"/>
      </w:pPr>
      <w:rPr>
        <w:rFonts w:hint="default"/>
        <w:lang w:val="pt-PT" w:eastAsia="en-US" w:bidi="ar-SA"/>
      </w:rPr>
    </w:lvl>
    <w:lvl w:ilvl="3" w:tplc="92B4ACF6">
      <w:numFmt w:val="bullet"/>
      <w:lvlText w:val="•"/>
      <w:lvlJc w:val="left"/>
      <w:pPr>
        <w:ind w:left="2884" w:hanging="255"/>
      </w:pPr>
      <w:rPr>
        <w:rFonts w:hint="default"/>
        <w:lang w:val="pt-PT" w:eastAsia="en-US" w:bidi="ar-SA"/>
      </w:rPr>
    </w:lvl>
    <w:lvl w:ilvl="4" w:tplc="D4E86EC4">
      <w:numFmt w:val="bullet"/>
      <w:lvlText w:val="•"/>
      <w:lvlJc w:val="left"/>
      <w:pPr>
        <w:ind w:left="3746" w:hanging="255"/>
      </w:pPr>
      <w:rPr>
        <w:rFonts w:hint="default"/>
        <w:lang w:val="pt-PT" w:eastAsia="en-US" w:bidi="ar-SA"/>
      </w:rPr>
    </w:lvl>
    <w:lvl w:ilvl="5" w:tplc="E676E59E">
      <w:numFmt w:val="bullet"/>
      <w:lvlText w:val="•"/>
      <w:lvlJc w:val="left"/>
      <w:pPr>
        <w:ind w:left="4608" w:hanging="255"/>
      </w:pPr>
      <w:rPr>
        <w:rFonts w:hint="default"/>
        <w:lang w:val="pt-PT" w:eastAsia="en-US" w:bidi="ar-SA"/>
      </w:rPr>
    </w:lvl>
    <w:lvl w:ilvl="6" w:tplc="90CEAEA4">
      <w:numFmt w:val="bullet"/>
      <w:lvlText w:val="•"/>
      <w:lvlJc w:val="left"/>
      <w:pPr>
        <w:ind w:left="5471" w:hanging="255"/>
      </w:pPr>
      <w:rPr>
        <w:rFonts w:hint="default"/>
        <w:lang w:val="pt-PT" w:eastAsia="en-US" w:bidi="ar-SA"/>
      </w:rPr>
    </w:lvl>
    <w:lvl w:ilvl="7" w:tplc="7DC45D2C">
      <w:numFmt w:val="bullet"/>
      <w:lvlText w:val="•"/>
      <w:lvlJc w:val="left"/>
      <w:pPr>
        <w:ind w:left="6333" w:hanging="255"/>
      </w:pPr>
      <w:rPr>
        <w:rFonts w:hint="default"/>
        <w:lang w:val="pt-PT" w:eastAsia="en-US" w:bidi="ar-SA"/>
      </w:rPr>
    </w:lvl>
    <w:lvl w:ilvl="8" w:tplc="D1CAF11E">
      <w:numFmt w:val="bullet"/>
      <w:lvlText w:val="•"/>
      <w:lvlJc w:val="left"/>
      <w:pPr>
        <w:ind w:left="7195" w:hanging="255"/>
      </w:pPr>
      <w:rPr>
        <w:rFonts w:hint="default"/>
        <w:lang w:val="pt-PT" w:eastAsia="en-US" w:bidi="ar-SA"/>
      </w:rPr>
    </w:lvl>
  </w:abstractNum>
  <w:abstractNum w:abstractNumId="7" w15:restartNumberingAfterBreak="0">
    <w:nsid w:val="2C29539C"/>
    <w:multiLevelType w:val="hybridMultilevel"/>
    <w:tmpl w:val="9D486D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71AEF"/>
    <w:multiLevelType w:val="multilevel"/>
    <w:tmpl w:val="015EC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E7296F"/>
    <w:multiLevelType w:val="multilevel"/>
    <w:tmpl w:val="5E6CA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BE5B3D"/>
    <w:multiLevelType w:val="hybridMultilevel"/>
    <w:tmpl w:val="FA3C6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5A2FF5"/>
    <w:multiLevelType w:val="hybridMultilevel"/>
    <w:tmpl w:val="F290110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407E2C"/>
    <w:multiLevelType w:val="hybridMultilevel"/>
    <w:tmpl w:val="86B2E8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42A96"/>
    <w:multiLevelType w:val="hybridMultilevel"/>
    <w:tmpl w:val="00144B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4"/>
  </w:num>
  <w:num w:numId="5">
    <w:abstractNumId w:val="8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12"/>
  </w:num>
  <w:num w:numId="11">
    <w:abstractNumId w:val="10"/>
  </w:num>
  <w:num w:numId="12">
    <w:abstractNumId w:val="11"/>
  </w:num>
  <w:num w:numId="13">
    <w:abstractNumId w:val="13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MwMTQxtzSwNDe1NDJS0lEKTi0uzszPAykwMqgFABmfdYAtAAAA"/>
  </w:docVars>
  <w:rsids>
    <w:rsidRoot w:val="006C35F3"/>
    <w:rsid w:val="000032F6"/>
    <w:rsid w:val="00014D84"/>
    <w:rsid w:val="00026E96"/>
    <w:rsid w:val="0003228A"/>
    <w:rsid w:val="00035A6E"/>
    <w:rsid w:val="000376F4"/>
    <w:rsid w:val="00050CCF"/>
    <w:rsid w:val="000533F5"/>
    <w:rsid w:val="00071801"/>
    <w:rsid w:val="000729FE"/>
    <w:rsid w:val="000824E1"/>
    <w:rsid w:val="00085A84"/>
    <w:rsid w:val="00085E0F"/>
    <w:rsid w:val="000B4791"/>
    <w:rsid w:val="000B4B40"/>
    <w:rsid w:val="000B5A2E"/>
    <w:rsid w:val="000F06BF"/>
    <w:rsid w:val="000F2602"/>
    <w:rsid w:val="000F2A7B"/>
    <w:rsid w:val="000F47F2"/>
    <w:rsid w:val="000F4F27"/>
    <w:rsid w:val="000F5D05"/>
    <w:rsid w:val="001035EC"/>
    <w:rsid w:val="00105284"/>
    <w:rsid w:val="0011790F"/>
    <w:rsid w:val="00132DCB"/>
    <w:rsid w:val="001330ED"/>
    <w:rsid w:val="0014386F"/>
    <w:rsid w:val="00161728"/>
    <w:rsid w:val="0016353C"/>
    <w:rsid w:val="00171E84"/>
    <w:rsid w:val="00172C7D"/>
    <w:rsid w:val="0018427F"/>
    <w:rsid w:val="00186E80"/>
    <w:rsid w:val="00191056"/>
    <w:rsid w:val="00195B2B"/>
    <w:rsid w:val="00196F33"/>
    <w:rsid w:val="001A2F87"/>
    <w:rsid w:val="001A3358"/>
    <w:rsid w:val="001A4856"/>
    <w:rsid w:val="001B3786"/>
    <w:rsid w:val="001C4953"/>
    <w:rsid w:val="001E2D31"/>
    <w:rsid w:val="001F1649"/>
    <w:rsid w:val="002006D0"/>
    <w:rsid w:val="00204CA7"/>
    <w:rsid w:val="00205327"/>
    <w:rsid w:val="002063C8"/>
    <w:rsid w:val="00206FC7"/>
    <w:rsid w:val="00225332"/>
    <w:rsid w:val="00235284"/>
    <w:rsid w:val="00240A8C"/>
    <w:rsid w:val="00241605"/>
    <w:rsid w:val="00256D72"/>
    <w:rsid w:val="00262060"/>
    <w:rsid w:val="00270813"/>
    <w:rsid w:val="002775FF"/>
    <w:rsid w:val="0028089E"/>
    <w:rsid w:val="0028707C"/>
    <w:rsid w:val="0028755B"/>
    <w:rsid w:val="00291773"/>
    <w:rsid w:val="002921E1"/>
    <w:rsid w:val="002D2D58"/>
    <w:rsid w:val="002D3AD7"/>
    <w:rsid w:val="002D3F5F"/>
    <w:rsid w:val="002D498F"/>
    <w:rsid w:val="002D4CC5"/>
    <w:rsid w:val="002F3E24"/>
    <w:rsid w:val="003068A5"/>
    <w:rsid w:val="0030695A"/>
    <w:rsid w:val="00311661"/>
    <w:rsid w:val="00311F59"/>
    <w:rsid w:val="003151B7"/>
    <w:rsid w:val="00315FE4"/>
    <w:rsid w:val="003304D1"/>
    <w:rsid w:val="00336FE9"/>
    <w:rsid w:val="003404E7"/>
    <w:rsid w:val="0034595E"/>
    <w:rsid w:val="003544A2"/>
    <w:rsid w:val="00365BB2"/>
    <w:rsid w:val="003774FB"/>
    <w:rsid w:val="003839C6"/>
    <w:rsid w:val="00385B2A"/>
    <w:rsid w:val="00391C4E"/>
    <w:rsid w:val="003A03E2"/>
    <w:rsid w:val="003C685F"/>
    <w:rsid w:val="003D6D01"/>
    <w:rsid w:val="003E0254"/>
    <w:rsid w:val="003F3AD4"/>
    <w:rsid w:val="00404448"/>
    <w:rsid w:val="004145DA"/>
    <w:rsid w:val="00416223"/>
    <w:rsid w:val="00417D4C"/>
    <w:rsid w:val="0042597F"/>
    <w:rsid w:val="00426BFA"/>
    <w:rsid w:val="00431C62"/>
    <w:rsid w:val="00436675"/>
    <w:rsid w:val="00443F22"/>
    <w:rsid w:val="00444265"/>
    <w:rsid w:val="004605AB"/>
    <w:rsid w:val="00461715"/>
    <w:rsid w:val="004658D7"/>
    <w:rsid w:val="00472676"/>
    <w:rsid w:val="00472D66"/>
    <w:rsid w:val="00475C17"/>
    <w:rsid w:val="00476D2D"/>
    <w:rsid w:val="004955CC"/>
    <w:rsid w:val="004C1021"/>
    <w:rsid w:val="004C2CC0"/>
    <w:rsid w:val="004C6434"/>
    <w:rsid w:val="004D1782"/>
    <w:rsid w:val="004E69B7"/>
    <w:rsid w:val="004E6A0A"/>
    <w:rsid w:val="005000E5"/>
    <w:rsid w:val="00512140"/>
    <w:rsid w:val="005150BD"/>
    <w:rsid w:val="00520205"/>
    <w:rsid w:val="0053040F"/>
    <w:rsid w:val="005307A6"/>
    <w:rsid w:val="0053675F"/>
    <w:rsid w:val="00545649"/>
    <w:rsid w:val="00551478"/>
    <w:rsid w:val="005518C0"/>
    <w:rsid w:val="00552CB5"/>
    <w:rsid w:val="00553EB1"/>
    <w:rsid w:val="00556779"/>
    <w:rsid w:val="00563253"/>
    <w:rsid w:val="00567007"/>
    <w:rsid w:val="00572D10"/>
    <w:rsid w:val="005733A1"/>
    <w:rsid w:val="00593DC6"/>
    <w:rsid w:val="00594254"/>
    <w:rsid w:val="00594999"/>
    <w:rsid w:val="005A661A"/>
    <w:rsid w:val="005B74EE"/>
    <w:rsid w:val="005C383E"/>
    <w:rsid w:val="005D5EF1"/>
    <w:rsid w:val="005D7221"/>
    <w:rsid w:val="005D76AB"/>
    <w:rsid w:val="00600B4C"/>
    <w:rsid w:val="00610D56"/>
    <w:rsid w:val="0061264E"/>
    <w:rsid w:val="00627288"/>
    <w:rsid w:val="006370E0"/>
    <w:rsid w:val="00643651"/>
    <w:rsid w:val="006505A6"/>
    <w:rsid w:val="0065060C"/>
    <w:rsid w:val="00650E58"/>
    <w:rsid w:val="00660CDE"/>
    <w:rsid w:val="00663A1D"/>
    <w:rsid w:val="0066738C"/>
    <w:rsid w:val="0068510E"/>
    <w:rsid w:val="006A39CE"/>
    <w:rsid w:val="006A5ADA"/>
    <w:rsid w:val="006B2FA5"/>
    <w:rsid w:val="006B79E3"/>
    <w:rsid w:val="006C35F3"/>
    <w:rsid w:val="006E3FEE"/>
    <w:rsid w:val="006F2C69"/>
    <w:rsid w:val="00703671"/>
    <w:rsid w:val="007077DB"/>
    <w:rsid w:val="007220EB"/>
    <w:rsid w:val="00724526"/>
    <w:rsid w:val="0074031A"/>
    <w:rsid w:val="00755BDA"/>
    <w:rsid w:val="0076132B"/>
    <w:rsid w:val="00772D9B"/>
    <w:rsid w:val="0078683F"/>
    <w:rsid w:val="0078715B"/>
    <w:rsid w:val="00793654"/>
    <w:rsid w:val="007A1E59"/>
    <w:rsid w:val="007A7201"/>
    <w:rsid w:val="007B56D6"/>
    <w:rsid w:val="007B7EC0"/>
    <w:rsid w:val="007C032C"/>
    <w:rsid w:val="007C2869"/>
    <w:rsid w:val="007C2D3B"/>
    <w:rsid w:val="007C6A66"/>
    <w:rsid w:val="007D45CE"/>
    <w:rsid w:val="007D6E2F"/>
    <w:rsid w:val="007E4253"/>
    <w:rsid w:val="007F2280"/>
    <w:rsid w:val="007F523F"/>
    <w:rsid w:val="00804921"/>
    <w:rsid w:val="00804DF8"/>
    <w:rsid w:val="008169EB"/>
    <w:rsid w:val="0085189F"/>
    <w:rsid w:val="008526F9"/>
    <w:rsid w:val="0085467D"/>
    <w:rsid w:val="00855EF3"/>
    <w:rsid w:val="00857779"/>
    <w:rsid w:val="00857914"/>
    <w:rsid w:val="00864F79"/>
    <w:rsid w:val="008804F4"/>
    <w:rsid w:val="008830D4"/>
    <w:rsid w:val="00890105"/>
    <w:rsid w:val="00892CC5"/>
    <w:rsid w:val="00894126"/>
    <w:rsid w:val="0089465E"/>
    <w:rsid w:val="008B6734"/>
    <w:rsid w:val="008C3CD2"/>
    <w:rsid w:val="008D041D"/>
    <w:rsid w:val="008D261F"/>
    <w:rsid w:val="008D73B5"/>
    <w:rsid w:val="009033D6"/>
    <w:rsid w:val="009139C7"/>
    <w:rsid w:val="00916BDA"/>
    <w:rsid w:val="00927F98"/>
    <w:rsid w:val="00934CBF"/>
    <w:rsid w:val="009655B8"/>
    <w:rsid w:val="00970ECF"/>
    <w:rsid w:val="009752E3"/>
    <w:rsid w:val="009818BB"/>
    <w:rsid w:val="00990F42"/>
    <w:rsid w:val="00991BF3"/>
    <w:rsid w:val="009968D3"/>
    <w:rsid w:val="009A2EF6"/>
    <w:rsid w:val="009C4EE3"/>
    <w:rsid w:val="009C7638"/>
    <w:rsid w:val="009E35DE"/>
    <w:rsid w:val="00A017DC"/>
    <w:rsid w:val="00A03C88"/>
    <w:rsid w:val="00A03E3B"/>
    <w:rsid w:val="00A2102A"/>
    <w:rsid w:val="00A31A10"/>
    <w:rsid w:val="00A54F8D"/>
    <w:rsid w:val="00A672F8"/>
    <w:rsid w:val="00A826A0"/>
    <w:rsid w:val="00AA0B1F"/>
    <w:rsid w:val="00AA3877"/>
    <w:rsid w:val="00AB2E79"/>
    <w:rsid w:val="00AB2EE7"/>
    <w:rsid w:val="00AB333A"/>
    <w:rsid w:val="00AB4083"/>
    <w:rsid w:val="00AB779B"/>
    <w:rsid w:val="00AC08E0"/>
    <w:rsid w:val="00AC1F44"/>
    <w:rsid w:val="00AC54F4"/>
    <w:rsid w:val="00AD188A"/>
    <w:rsid w:val="00AD2964"/>
    <w:rsid w:val="00AE23F8"/>
    <w:rsid w:val="00AF6863"/>
    <w:rsid w:val="00AF7ED2"/>
    <w:rsid w:val="00B00F0E"/>
    <w:rsid w:val="00B33AAB"/>
    <w:rsid w:val="00B355EA"/>
    <w:rsid w:val="00B401AF"/>
    <w:rsid w:val="00B4087E"/>
    <w:rsid w:val="00B5435D"/>
    <w:rsid w:val="00B561B8"/>
    <w:rsid w:val="00B63A15"/>
    <w:rsid w:val="00B81ED9"/>
    <w:rsid w:val="00B84396"/>
    <w:rsid w:val="00B93C6D"/>
    <w:rsid w:val="00BA593F"/>
    <w:rsid w:val="00BD18D3"/>
    <w:rsid w:val="00BE47A8"/>
    <w:rsid w:val="00BE5961"/>
    <w:rsid w:val="00BF277A"/>
    <w:rsid w:val="00BF3949"/>
    <w:rsid w:val="00C068C8"/>
    <w:rsid w:val="00C104C3"/>
    <w:rsid w:val="00C11A41"/>
    <w:rsid w:val="00C11F75"/>
    <w:rsid w:val="00C12689"/>
    <w:rsid w:val="00C25D63"/>
    <w:rsid w:val="00C263A9"/>
    <w:rsid w:val="00C46050"/>
    <w:rsid w:val="00C47FD0"/>
    <w:rsid w:val="00C52C1E"/>
    <w:rsid w:val="00C54A2B"/>
    <w:rsid w:val="00C606D4"/>
    <w:rsid w:val="00C66291"/>
    <w:rsid w:val="00C664FB"/>
    <w:rsid w:val="00C7221B"/>
    <w:rsid w:val="00C74C9A"/>
    <w:rsid w:val="00C75D36"/>
    <w:rsid w:val="00C83E39"/>
    <w:rsid w:val="00C91F04"/>
    <w:rsid w:val="00CB307E"/>
    <w:rsid w:val="00CB466D"/>
    <w:rsid w:val="00CC5C7A"/>
    <w:rsid w:val="00CC7545"/>
    <w:rsid w:val="00CE153B"/>
    <w:rsid w:val="00D03FC8"/>
    <w:rsid w:val="00D11DA2"/>
    <w:rsid w:val="00D23264"/>
    <w:rsid w:val="00D54F06"/>
    <w:rsid w:val="00D57410"/>
    <w:rsid w:val="00D7048B"/>
    <w:rsid w:val="00D70A2D"/>
    <w:rsid w:val="00D72707"/>
    <w:rsid w:val="00D74BD7"/>
    <w:rsid w:val="00D779B0"/>
    <w:rsid w:val="00D84A75"/>
    <w:rsid w:val="00D94548"/>
    <w:rsid w:val="00D955F3"/>
    <w:rsid w:val="00D97898"/>
    <w:rsid w:val="00DB5CCD"/>
    <w:rsid w:val="00DC1BED"/>
    <w:rsid w:val="00DD5644"/>
    <w:rsid w:val="00DD72DD"/>
    <w:rsid w:val="00DD78E4"/>
    <w:rsid w:val="00DF5889"/>
    <w:rsid w:val="00E14C9E"/>
    <w:rsid w:val="00E353A4"/>
    <w:rsid w:val="00E41970"/>
    <w:rsid w:val="00E6352A"/>
    <w:rsid w:val="00E638F0"/>
    <w:rsid w:val="00E754C7"/>
    <w:rsid w:val="00E866F2"/>
    <w:rsid w:val="00E94734"/>
    <w:rsid w:val="00E9489F"/>
    <w:rsid w:val="00E95927"/>
    <w:rsid w:val="00EB2932"/>
    <w:rsid w:val="00EB581B"/>
    <w:rsid w:val="00EC218F"/>
    <w:rsid w:val="00EC2C0A"/>
    <w:rsid w:val="00EC5C17"/>
    <w:rsid w:val="00ED36B9"/>
    <w:rsid w:val="00EE15B1"/>
    <w:rsid w:val="00EE775A"/>
    <w:rsid w:val="00EF0F2C"/>
    <w:rsid w:val="00F023DC"/>
    <w:rsid w:val="00F07E00"/>
    <w:rsid w:val="00F23513"/>
    <w:rsid w:val="00F319C9"/>
    <w:rsid w:val="00F35A1F"/>
    <w:rsid w:val="00F45BE7"/>
    <w:rsid w:val="00F5114E"/>
    <w:rsid w:val="00F532E7"/>
    <w:rsid w:val="00F55250"/>
    <w:rsid w:val="00F5628C"/>
    <w:rsid w:val="00F612D2"/>
    <w:rsid w:val="00F6586A"/>
    <w:rsid w:val="00F6671F"/>
    <w:rsid w:val="00F83CAB"/>
    <w:rsid w:val="00FA7D28"/>
    <w:rsid w:val="00FB6769"/>
    <w:rsid w:val="00FB76F5"/>
    <w:rsid w:val="00FE2922"/>
    <w:rsid w:val="00FE3006"/>
    <w:rsid w:val="00FF1CFD"/>
    <w:rsid w:val="01CE3EF9"/>
    <w:rsid w:val="068130DB"/>
    <w:rsid w:val="0AF2D855"/>
    <w:rsid w:val="0C5BDB5A"/>
    <w:rsid w:val="1B4CD283"/>
    <w:rsid w:val="2A88ADA8"/>
    <w:rsid w:val="2FA90500"/>
    <w:rsid w:val="3876B2E7"/>
    <w:rsid w:val="39A35685"/>
    <w:rsid w:val="441E4347"/>
    <w:rsid w:val="49CA1EA9"/>
    <w:rsid w:val="514452C2"/>
    <w:rsid w:val="53A1F922"/>
    <w:rsid w:val="5F322819"/>
    <w:rsid w:val="633DA4DB"/>
    <w:rsid w:val="6D758E12"/>
    <w:rsid w:val="7372E54F"/>
    <w:rsid w:val="7B3BA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828E657"/>
  <w15:chartTrackingRefBased/>
  <w15:docId w15:val="{0C4377DE-C33E-4BC5-8D38-0D1DCFA9E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5D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391C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552CB5"/>
    <w:pPr>
      <w:keepNext/>
      <w:jc w:val="both"/>
      <w:outlineLvl w:val="1"/>
    </w:pPr>
    <w:rPr>
      <w:rFonts w:ascii="Tahoma" w:eastAsia="Times New Roman" w:hAnsi="Tahoma" w:cs="Times New Roman"/>
      <w:b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F0F2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552CB5"/>
    <w:rPr>
      <w:rFonts w:ascii="Tahoma" w:eastAsia="Times New Roman" w:hAnsi="Tahoma" w:cs="Times New Roman"/>
      <w:b/>
      <w:sz w:val="20"/>
      <w:szCs w:val="20"/>
      <w:lang w:eastAsia="pt-BR"/>
    </w:rPr>
  </w:style>
  <w:style w:type="paragraph" w:styleId="PargrafodaLista">
    <w:name w:val="List Paragraph"/>
    <w:basedOn w:val="Normal"/>
    <w:uiPriority w:val="1"/>
    <w:qFormat/>
    <w:rsid w:val="00552CB5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D94548"/>
    <w:rPr>
      <w:i/>
      <w:iCs/>
    </w:rPr>
  </w:style>
  <w:style w:type="paragraph" w:styleId="Corpodetexto">
    <w:name w:val="Body Text"/>
    <w:basedOn w:val="Normal"/>
    <w:link w:val="CorpodetextoChar"/>
    <w:rsid w:val="00D94548"/>
    <w:rPr>
      <w:rFonts w:eastAsia="Times New Roman" w:cs="Times New Roman"/>
      <w:b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D94548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2">
    <w:name w:val="Body Text 2"/>
    <w:basedOn w:val="Normal"/>
    <w:link w:val="Corpodetexto2Char"/>
    <w:rsid w:val="00D94548"/>
    <w:pPr>
      <w:jc w:val="center"/>
    </w:pPr>
    <w:rPr>
      <w:rFonts w:eastAsia="Times New Roman" w:cs="Times New Roman"/>
      <w:sz w:val="24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D94548"/>
    <w:rPr>
      <w:rFonts w:ascii="Arial" w:eastAsia="Times New Roman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D94548"/>
    <w:pPr>
      <w:spacing w:after="120"/>
      <w:ind w:left="283"/>
    </w:pPr>
    <w:rPr>
      <w:rFonts w:eastAsia="Times New Roman" w:cs="Times New Roman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D94548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Default">
    <w:name w:val="Default"/>
    <w:rsid w:val="00D945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132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132B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DF5889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unhideWhenUsed/>
    <w:rsid w:val="00DF5889"/>
    <w:rPr>
      <w:rFonts w:ascii="Calibri" w:hAnsi="Calibri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DF5889"/>
    <w:rPr>
      <w:rFonts w:ascii="Calibri" w:hAnsi="Calibri"/>
      <w:szCs w:val="21"/>
    </w:rPr>
  </w:style>
  <w:style w:type="character" w:styleId="Refdecomentrio">
    <w:name w:val="annotation reference"/>
    <w:basedOn w:val="Fontepargpadro"/>
    <w:uiPriority w:val="99"/>
    <w:semiHidden/>
    <w:unhideWhenUsed/>
    <w:rsid w:val="007F228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2280"/>
    <w:pPr>
      <w:spacing w:after="200"/>
    </w:pPr>
    <w:rPr>
      <w:sz w:val="20"/>
      <w:szCs w:val="20"/>
      <w:lang w:val="en-GB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2280"/>
    <w:rPr>
      <w:sz w:val="20"/>
      <w:szCs w:val="20"/>
      <w:lang w:val="en-GB"/>
    </w:rPr>
  </w:style>
  <w:style w:type="paragraph" w:styleId="Cabealho">
    <w:name w:val="header"/>
    <w:basedOn w:val="Normal"/>
    <w:link w:val="CabealhoChar"/>
    <w:uiPriority w:val="99"/>
    <w:unhideWhenUsed/>
    <w:rsid w:val="0028755B"/>
    <w:pPr>
      <w:tabs>
        <w:tab w:val="center" w:pos="4513"/>
        <w:tab w:val="right" w:pos="9026"/>
      </w:tabs>
    </w:pPr>
    <w:rPr>
      <w:lang w:val="en-GB"/>
    </w:rPr>
  </w:style>
  <w:style w:type="character" w:customStyle="1" w:styleId="CabealhoChar">
    <w:name w:val="Cabeçalho Char"/>
    <w:basedOn w:val="Fontepargpadro"/>
    <w:link w:val="Cabealho"/>
    <w:uiPriority w:val="99"/>
    <w:rsid w:val="0028755B"/>
    <w:rPr>
      <w:lang w:val="en-GB"/>
    </w:rPr>
  </w:style>
  <w:style w:type="paragraph" w:styleId="Rodap">
    <w:name w:val="footer"/>
    <w:basedOn w:val="Normal"/>
    <w:link w:val="RodapChar"/>
    <w:uiPriority w:val="99"/>
    <w:unhideWhenUsed/>
    <w:rsid w:val="004C643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6434"/>
  </w:style>
  <w:style w:type="table" w:styleId="Tabelacomgrade">
    <w:name w:val="Table Grid"/>
    <w:basedOn w:val="Tabelanormal"/>
    <w:uiPriority w:val="39"/>
    <w:rsid w:val="00436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AF7ED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AF7ED2"/>
  </w:style>
  <w:style w:type="character" w:customStyle="1" w:styleId="eop">
    <w:name w:val="eop"/>
    <w:basedOn w:val="Fontepargpadro"/>
    <w:rsid w:val="00AF7ED2"/>
  </w:style>
  <w:style w:type="character" w:customStyle="1" w:styleId="ui-provider">
    <w:name w:val="ui-provider"/>
    <w:basedOn w:val="Fontepargpadro"/>
    <w:rsid w:val="007220EB"/>
  </w:style>
  <w:style w:type="character" w:customStyle="1" w:styleId="oypena">
    <w:name w:val="oypena"/>
    <w:basedOn w:val="Fontepargpadro"/>
    <w:rsid w:val="00035A6E"/>
  </w:style>
  <w:style w:type="paragraph" w:customStyle="1" w:styleId="cvgsua">
    <w:name w:val="cvgsua"/>
    <w:basedOn w:val="Normal"/>
    <w:rsid w:val="00035A6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ql-cursor">
    <w:name w:val="ql-cursor"/>
    <w:basedOn w:val="Fontepargpadro"/>
    <w:rsid w:val="002D4CC5"/>
  </w:style>
  <w:style w:type="paragraph" w:styleId="Reviso">
    <w:name w:val="Revision"/>
    <w:hidden/>
    <w:uiPriority w:val="99"/>
    <w:semiHidden/>
    <w:rsid w:val="003839C6"/>
    <w:pPr>
      <w:spacing w:after="0" w:line="240" w:lineRule="auto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7C6A66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A017DC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391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rtdeco-hoverable-trigger">
    <w:name w:val="artdeco-hoverable-trigger"/>
    <w:basedOn w:val="Fontepargpadro"/>
    <w:rsid w:val="00391C4E"/>
  </w:style>
  <w:style w:type="character" w:customStyle="1" w:styleId="distance-badge">
    <w:name w:val="distance-badge"/>
    <w:basedOn w:val="Fontepargpadro"/>
    <w:rsid w:val="00391C4E"/>
  </w:style>
  <w:style w:type="character" w:customStyle="1" w:styleId="visually-hidden">
    <w:name w:val="visually-hidden"/>
    <w:basedOn w:val="Fontepargpadro"/>
    <w:rsid w:val="00391C4E"/>
  </w:style>
  <w:style w:type="character" w:customStyle="1" w:styleId="dist-value">
    <w:name w:val="dist-value"/>
    <w:basedOn w:val="Fontepargpadro"/>
    <w:rsid w:val="00391C4E"/>
  </w:style>
  <w:style w:type="character" w:customStyle="1" w:styleId="Ttulo3Char">
    <w:name w:val="Título 3 Char"/>
    <w:basedOn w:val="Fontepargpadro"/>
    <w:link w:val="Ttulo3"/>
    <w:uiPriority w:val="9"/>
    <w:semiHidden/>
    <w:rsid w:val="00EF0F2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">
    <w:name w:val="Title"/>
    <w:basedOn w:val="Normal"/>
    <w:link w:val="TtuloChar"/>
    <w:uiPriority w:val="10"/>
    <w:qFormat/>
    <w:rsid w:val="00E866F2"/>
    <w:pPr>
      <w:ind w:left="735"/>
    </w:pPr>
    <w:rPr>
      <w:b/>
      <w:bCs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866F2"/>
    <w:rPr>
      <w:rFonts w:ascii="Arial" w:eastAsia="Arial" w:hAnsi="Arial" w:cs="Arial"/>
      <w:b/>
      <w:bCs/>
      <w:sz w:val="32"/>
      <w:szCs w:val="32"/>
      <w:lang w:val="pt-PT"/>
    </w:rPr>
  </w:style>
  <w:style w:type="paragraph" w:styleId="NormalWeb">
    <w:name w:val="Normal (Web)"/>
    <w:basedOn w:val="Normal"/>
    <w:uiPriority w:val="99"/>
    <w:unhideWhenUsed/>
    <w:rsid w:val="00AB333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7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2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relgov.com.br/" TargetMode="External"/><Relationship Id="rId1" Type="http://schemas.openxmlformats.org/officeDocument/2006/relationships/hyperlink" Target="mailto:irelgov@irelgov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64bc16a-c0c6-4a67-a57c-897fbf2a7b3c">
      <Terms xmlns="http://schemas.microsoft.com/office/infopath/2007/PartnerControls"/>
    </lcf76f155ced4ddcb4097134ff3c332f>
    <TaxCatchAll xmlns="e3331894-ca7b-41a5-9d76-94fc8ecde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1C4C79CCFA945BCEEE9EC1B6A9153" ma:contentTypeVersion="16" ma:contentTypeDescription="Create a new document." ma:contentTypeScope="" ma:versionID="0d7848dc4741a8029bf34f44e8caa29e">
  <xsd:schema xmlns:xsd="http://www.w3.org/2001/XMLSchema" xmlns:xs="http://www.w3.org/2001/XMLSchema" xmlns:p="http://schemas.microsoft.com/office/2006/metadata/properties" xmlns:ns2="e64bc16a-c0c6-4a67-a57c-897fbf2a7b3c" xmlns:ns3="e3331894-ca7b-41a5-9d76-94fc8ecde3ff" targetNamespace="http://schemas.microsoft.com/office/2006/metadata/properties" ma:root="true" ma:fieldsID="87a4b0a420ec14c0b0d51e22606c560f" ns2:_="" ns3:_="">
    <xsd:import namespace="e64bc16a-c0c6-4a67-a57c-897fbf2a7b3c"/>
    <xsd:import namespace="e3331894-ca7b-41a5-9d76-94fc8ecde3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4bc16a-c0c6-4a67-a57c-897fbf2a7b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2b78801-76ab-4a59-bd83-9727c7b62f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31894-ca7b-41a5-9d76-94fc8ecde3f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cde9739-f1e2-45f3-bc95-18a9cdd44b65}" ma:internalName="TaxCatchAll" ma:showField="CatchAllData" ma:web="e3331894-ca7b-41a5-9d76-94fc8ecde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2DCE25-6463-4455-AB43-C370B9288910}">
  <ds:schemaRefs>
    <ds:schemaRef ds:uri="http://schemas.microsoft.com/office/2006/metadata/properties"/>
    <ds:schemaRef ds:uri="http://schemas.microsoft.com/office/infopath/2007/PartnerControls"/>
    <ds:schemaRef ds:uri="e64bc16a-c0c6-4a67-a57c-897fbf2a7b3c"/>
    <ds:schemaRef ds:uri="e3331894-ca7b-41a5-9d76-94fc8ecde3ff"/>
  </ds:schemaRefs>
</ds:datastoreItem>
</file>

<file path=customXml/itemProps2.xml><?xml version="1.0" encoding="utf-8"?>
<ds:datastoreItem xmlns:ds="http://schemas.openxmlformats.org/officeDocument/2006/customXml" ds:itemID="{EE180F8C-8676-4082-B7C6-CB299C27FE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4bc16a-c0c6-4a67-a57c-897fbf2a7b3c"/>
    <ds:schemaRef ds:uri="e3331894-ca7b-41a5-9d76-94fc8ecde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854615-2FF6-4B2C-BFB1-5E3507612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1946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Roberta Comar</dc:creator>
  <cp:keywords/>
  <dc:description/>
  <cp:lastModifiedBy>Irelgov ADM</cp:lastModifiedBy>
  <cp:revision>6</cp:revision>
  <cp:lastPrinted>2026-02-19T14:20:00Z</cp:lastPrinted>
  <dcterms:created xsi:type="dcterms:W3CDTF">2026-05-05T12:35:00Z</dcterms:created>
  <dcterms:modified xsi:type="dcterms:W3CDTF">2026-05-14T22:10:00Z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0x0101004E61C4C79CCFA945BCEEE9EC1B6A9153</vt:lpwstr>
  </property>
  <property fmtid="{D5CDD505-2E9C-101B-9397-08002B2CF9AE}" pid="3" name="Order">
    <vt:r8>8879300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